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63" w:rsidRPr="00F97498" w:rsidRDefault="004B6963">
      <w:pPr>
        <w:jc w:val="center"/>
        <w:rPr>
          <w:rFonts w:eastAsia="Arial Unicode MS"/>
          <w:b/>
          <w:bCs/>
          <w:color w:val="FF0000"/>
          <w:sz w:val="36"/>
          <w:u w:val="single"/>
        </w:rPr>
      </w:pPr>
      <w:r w:rsidRPr="00F97498">
        <w:rPr>
          <w:b/>
          <w:bCs/>
          <w:color w:val="FF0000"/>
          <w:sz w:val="36"/>
          <w:u w:val="single"/>
        </w:rPr>
        <w:t xml:space="preserve">Thomson Reuters </w:t>
      </w:r>
      <w:r w:rsidRPr="00F97498">
        <w:rPr>
          <w:b/>
          <w:bCs/>
          <w:i/>
          <w:iCs/>
          <w:color w:val="FF0000"/>
          <w:sz w:val="36"/>
          <w:u w:val="single"/>
        </w:rPr>
        <w:t>Weekly Tax Bulletin</w:t>
      </w:r>
      <w:r w:rsidRPr="00F97498">
        <w:rPr>
          <w:b/>
          <w:bCs/>
          <w:color w:val="FF0000"/>
          <w:sz w:val="36"/>
          <w:u w:val="single"/>
        </w:rPr>
        <w:t xml:space="preserve"> v CCH </w:t>
      </w:r>
      <w:r w:rsidRPr="00F97498">
        <w:rPr>
          <w:b/>
          <w:bCs/>
          <w:i/>
          <w:iCs/>
          <w:color w:val="FF0000"/>
          <w:sz w:val="36"/>
          <w:u w:val="single"/>
        </w:rPr>
        <w:t>Tax Week</w:t>
      </w:r>
    </w:p>
    <w:p w:rsidR="00FE0C8D" w:rsidRPr="00F97498" w:rsidRDefault="00144757" w:rsidP="00FE0C8D">
      <w:pPr>
        <w:pStyle w:val="Heading1"/>
        <w:spacing w:before="0" w:beforeAutospacing="0" w:after="0" w:afterAutospacing="0"/>
        <w:jc w:val="center"/>
        <w:rPr>
          <w:rFonts w:ascii="Times New Roman" w:hAnsi="Times New Roman" w:cs="Times New Roman"/>
          <w:color w:val="FF0000"/>
          <w:sz w:val="36"/>
          <w:szCs w:val="36"/>
          <w:u w:val="single"/>
        </w:rPr>
      </w:pPr>
      <w:r w:rsidRPr="00F97498">
        <w:rPr>
          <w:rFonts w:ascii="Times New Roman" w:hAnsi="Times New Roman" w:cs="Times New Roman"/>
          <w:color w:val="FF0000"/>
          <w:sz w:val="36"/>
          <w:szCs w:val="36"/>
          <w:u w:val="single"/>
        </w:rPr>
        <w:t>1 Jan</w:t>
      </w:r>
      <w:r w:rsidR="00530DC9" w:rsidRPr="00F97498">
        <w:rPr>
          <w:rFonts w:ascii="Times New Roman" w:hAnsi="Times New Roman" w:cs="Times New Roman"/>
          <w:color w:val="FF0000"/>
          <w:sz w:val="36"/>
          <w:szCs w:val="36"/>
          <w:u w:val="single"/>
        </w:rPr>
        <w:t>uary</w:t>
      </w:r>
      <w:r w:rsidRPr="00F97498">
        <w:rPr>
          <w:rFonts w:ascii="Times New Roman" w:hAnsi="Times New Roman" w:cs="Times New Roman"/>
          <w:color w:val="FF0000"/>
          <w:sz w:val="36"/>
          <w:szCs w:val="36"/>
          <w:u w:val="single"/>
        </w:rPr>
        <w:t xml:space="preserve"> </w:t>
      </w:r>
      <w:r w:rsidR="002750B7" w:rsidRPr="00F97498">
        <w:rPr>
          <w:rFonts w:ascii="Times New Roman" w:hAnsi="Times New Roman" w:cs="Times New Roman"/>
          <w:color w:val="FF0000"/>
          <w:sz w:val="36"/>
          <w:szCs w:val="36"/>
          <w:u w:val="single"/>
        </w:rPr>
        <w:t>201</w:t>
      </w:r>
      <w:r w:rsidR="00C60738">
        <w:rPr>
          <w:rFonts w:ascii="Times New Roman" w:hAnsi="Times New Roman" w:cs="Times New Roman"/>
          <w:color w:val="FF0000"/>
          <w:sz w:val="36"/>
          <w:szCs w:val="36"/>
          <w:u w:val="single"/>
        </w:rPr>
        <w:t>5</w:t>
      </w:r>
      <w:r w:rsidR="00174E92" w:rsidRPr="00F97498">
        <w:rPr>
          <w:rFonts w:ascii="Times New Roman" w:hAnsi="Times New Roman" w:cs="Times New Roman"/>
          <w:color w:val="FF0000"/>
          <w:sz w:val="36"/>
          <w:szCs w:val="36"/>
          <w:u w:val="single"/>
        </w:rPr>
        <w:t xml:space="preserve"> </w:t>
      </w:r>
      <w:r w:rsidR="001D2EB6">
        <w:rPr>
          <w:rFonts w:ascii="Times New Roman" w:hAnsi="Times New Roman" w:cs="Times New Roman"/>
          <w:color w:val="FF0000"/>
          <w:sz w:val="36"/>
          <w:szCs w:val="36"/>
          <w:u w:val="single"/>
        </w:rPr>
        <w:t>to 31 December</w:t>
      </w:r>
      <w:r w:rsidR="00C60738">
        <w:rPr>
          <w:rFonts w:ascii="Times New Roman" w:hAnsi="Times New Roman" w:cs="Times New Roman"/>
          <w:color w:val="FF0000"/>
          <w:sz w:val="36"/>
          <w:szCs w:val="36"/>
          <w:u w:val="single"/>
        </w:rPr>
        <w:t xml:space="preserve"> 2015</w:t>
      </w:r>
    </w:p>
    <w:p w:rsidR="004B6963" w:rsidRDefault="004B6963">
      <w:pPr>
        <w:pStyle w:val="Heading1"/>
        <w:spacing w:before="0" w:beforeAutospacing="0" w:after="0" w:afterAutospacing="0"/>
        <w:jc w:val="center"/>
        <w:rPr>
          <w:rFonts w:ascii="Times New Roman" w:hAnsi="Times New Roman" w:cs="Times New Roman"/>
          <w:sz w:val="24"/>
        </w:rPr>
      </w:pPr>
    </w:p>
    <w:p w:rsidR="004B6963" w:rsidRDefault="004B6963">
      <w:pPr>
        <w:pStyle w:val="Heading1"/>
        <w:spacing w:before="0" w:beforeAutospacing="0" w:after="0" w:afterAutospacing="0"/>
        <w:jc w:val="center"/>
        <w:rPr>
          <w:rFonts w:ascii="Times New Roman" w:hAnsi="Times New Roman" w:cs="Times New Roman"/>
          <w:sz w:val="24"/>
        </w:rPr>
      </w:pPr>
    </w:p>
    <w:p w:rsidR="007F0B8A" w:rsidRDefault="004B6963" w:rsidP="00183002">
      <w:pPr>
        <w:pStyle w:val="Heading1"/>
        <w:spacing w:before="0" w:beforeAutospacing="0" w:after="0" w:afterAutospacing="0"/>
        <w:jc w:val="center"/>
        <w:rPr>
          <w:rFonts w:ascii="Times New Roman" w:hAnsi="Times New Roman" w:cs="Times New Roman"/>
          <w:sz w:val="24"/>
        </w:rPr>
      </w:pPr>
      <w:r>
        <w:rPr>
          <w:rFonts w:ascii="Times New Roman" w:hAnsi="Times New Roman" w:cs="Times New Roman"/>
          <w:sz w:val="24"/>
        </w:rPr>
        <w:t xml:space="preserve">Thomson Reuters </w:t>
      </w:r>
      <w:r>
        <w:rPr>
          <w:rFonts w:ascii="Times New Roman" w:hAnsi="Times New Roman" w:cs="Times New Roman"/>
          <w:i/>
          <w:iCs/>
          <w:sz w:val="24"/>
        </w:rPr>
        <w:t>Weekly Tax Bulletin</w:t>
      </w:r>
      <w:r>
        <w:rPr>
          <w:rFonts w:ascii="Times New Roman" w:hAnsi="Times New Roman" w:cs="Times New Roman"/>
          <w:sz w:val="24"/>
        </w:rPr>
        <w:t xml:space="preserve"> (WTB) is </w:t>
      </w:r>
      <w:r w:rsidR="00DE7A6B" w:rsidRPr="00772DDC">
        <w:rPr>
          <w:rFonts w:ascii="Times New Roman" w:hAnsi="Times New Roman" w:cs="Times New Roman"/>
          <w:sz w:val="24"/>
          <w:u w:val="single"/>
        </w:rPr>
        <w:t>THE</w:t>
      </w:r>
      <w:r>
        <w:rPr>
          <w:rFonts w:ascii="Times New Roman" w:hAnsi="Times New Roman" w:cs="Times New Roman"/>
          <w:sz w:val="24"/>
        </w:rPr>
        <w:t xml:space="preserve"> most comprehensive tax news reporting service in Australia.</w:t>
      </w:r>
    </w:p>
    <w:p w:rsidR="00DE7A6B" w:rsidRDefault="00DE7A6B">
      <w:pPr>
        <w:pStyle w:val="Heading1"/>
        <w:spacing w:before="0" w:beforeAutospacing="0" w:after="0" w:afterAutospacing="0"/>
        <w:jc w:val="center"/>
        <w:rPr>
          <w:rFonts w:ascii="Times New Roman" w:hAnsi="Times New Roman" w:cs="Times New Roman"/>
          <w:sz w:val="24"/>
        </w:rPr>
      </w:pPr>
    </w:p>
    <w:p w:rsidR="004B6963" w:rsidRDefault="004B6963">
      <w:pPr>
        <w:pStyle w:val="Heading1"/>
        <w:spacing w:before="0" w:beforeAutospacing="0" w:after="0" w:afterAutospacing="0"/>
        <w:jc w:val="center"/>
        <w:rPr>
          <w:rFonts w:ascii="Times New Roman" w:hAnsi="Times New Roman" w:cs="Times New Roman"/>
          <w:sz w:val="24"/>
        </w:rPr>
      </w:pPr>
      <w:r>
        <w:rPr>
          <w:rFonts w:ascii="Times New Roman" w:hAnsi="Times New Roman" w:cs="Times New Roman"/>
          <w:sz w:val="24"/>
          <w:u w:val="single"/>
        </w:rPr>
        <w:t>If it moves in tax, it’s in WTB</w:t>
      </w:r>
      <w:r>
        <w:rPr>
          <w:rFonts w:ascii="Times New Roman" w:hAnsi="Times New Roman" w:cs="Times New Roman"/>
          <w:sz w:val="24"/>
        </w:rPr>
        <w:t>.</w:t>
      </w:r>
    </w:p>
    <w:p w:rsidR="004B6963" w:rsidRDefault="004B6963">
      <w:pPr>
        <w:pStyle w:val="Heading1"/>
        <w:spacing w:before="0" w:beforeAutospacing="0" w:after="0" w:afterAutospacing="0"/>
        <w:jc w:val="center"/>
        <w:rPr>
          <w:rFonts w:ascii="Times New Roman" w:hAnsi="Times New Roman" w:cs="Times New Roman"/>
          <w:sz w:val="24"/>
        </w:rPr>
      </w:pPr>
    </w:p>
    <w:p w:rsidR="004B6963" w:rsidRDefault="004B6963" w:rsidP="006D67E9">
      <w:pPr>
        <w:pStyle w:val="Heading1"/>
        <w:spacing w:before="0" w:beforeAutospacing="0" w:after="0" w:afterAutospacing="0"/>
        <w:rPr>
          <w:rFonts w:ascii="Times New Roman" w:hAnsi="Times New Roman" w:cs="Times New Roman"/>
          <w:sz w:val="24"/>
        </w:rPr>
      </w:pPr>
      <w:r>
        <w:rPr>
          <w:rFonts w:ascii="Times New Roman" w:hAnsi="Times New Roman" w:cs="Times New Roman"/>
          <w:sz w:val="24"/>
        </w:rPr>
        <w:t xml:space="preserve">All tax news services are not the same! </w:t>
      </w:r>
    </w:p>
    <w:p w:rsidR="006D67E9" w:rsidRDefault="006D67E9" w:rsidP="006D67E9">
      <w:pPr>
        <w:pStyle w:val="Heading1"/>
        <w:spacing w:before="0" w:beforeAutospacing="0" w:after="0" w:afterAutospacing="0"/>
        <w:rPr>
          <w:rFonts w:ascii="Times New Roman" w:hAnsi="Times New Roman" w:cs="Times New Roman"/>
          <w:sz w:val="24"/>
        </w:rPr>
      </w:pPr>
    </w:p>
    <w:p w:rsidR="00F46CE1" w:rsidRDefault="006D67E9">
      <w:pPr>
        <w:pStyle w:val="Heading1"/>
        <w:spacing w:before="0" w:beforeAutospacing="0" w:after="0" w:afterAutospacing="0"/>
        <w:jc w:val="center"/>
        <w:rPr>
          <w:rFonts w:ascii="Times New Roman" w:hAnsi="Times New Roman" w:cs="Times New Roman"/>
          <w:sz w:val="24"/>
        </w:rPr>
      </w:pPr>
      <w:r w:rsidRPr="00912941">
        <w:rPr>
          <w:rFonts w:ascii="Times New Roman" w:hAnsi="Times New Roman" w:cs="Times New Roman"/>
          <w:sz w:val="24"/>
          <w:highlight w:val="yellow"/>
          <w:u w:val="single"/>
        </w:rPr>
        <w:t>More than ever, WTB is about news, analysis and comment. Subscribers get much more than just the news itself.</w:t>
      </w:r>
    </w:p>
    <w:p w:rsidR="00F46CE1" w:rsidRDefault="00F46CE1">
      <w:pPr>
        <w:pStyle w:val="Heading1"/>
        <w:spacing w:before="0" w:beforeAutospacing="0" w:after="0" w:afterAutospacing="0"/>
        <w:jc w:val="center"/>
        <w:rPr>
          <w:rFonts w:ascii="Times New Roman" w:hAnsi="Times New Roman" w:cs="Times New Roman"/>
          <w:sz w:val="24"/>
        </w:rPr>
      </w:pPr>
    </w:p>
    <w:p w:rsidR="006D67E9" w:rsidRDefault="00DF3895" w:rsidP="00673AF6">
      <w:pPr>
        <w:pStyle w:val="Heading1"/>
        <w:spacing w:before="0" w:beforeAutospacing="0" w:after="0" w:afterAutospacing="0"/>
        <w:jc w:val="both"/>
        <w:rPr>
          <w:rFonts w:ascii="Times New Roman" w:hAnsi="Times New Roman" w:cs="Times New Roman"/>
          <w:sz w:val="24"/>
        </w:rPr>
      </w:pPr>
      <w:r>
        <w:rPr>
          <w:rFonts w:ascii="Times New Roman" w:hAnsi="Times New Roman" w:cs="Times New Roman"/>
          <w:sz w:val="24"/>
        </w:rPr>
        <w:t xml:space="preserve">Here is a quick snapshot of </w:t>
      </w:r>
      <w:r w:rsidR="001D2EB6">
        <w:rPr>
          <w:rFonts w:ascii="Times New Roman" w:hAnsi="Times New Roman" w:cs="Times New Roman"/>
          <w:sz w:val="24"/>
        </w:rPr>
        <w:t>the year's reporting for calendar 2015</w:t>
      </w:r>
      <w:r>
        <w:rPr>
          <w:rFonts w:ascii="Times New Roman" w:hAnsi="Times New Roman" w:cs="Times New Roman"/>
          <w:sz w:val="24"/>
        </w:rPr>
        <w:t>:</w:t>
      </w:r>
    </w:p>
    <w:p w:rsidR="004B6963" w:rsidRDefault="004B6963">
      <w:pPr>
        <w:rPr>
          <w:b/>
          <w:bCs/>
          <w:sz w:val="32"/>
        </w:rPr>
      </w:pPr>
    </w:p>
    <w:tbl>
      <w:tblPr>
        <w:tblW w:w="9180" w:type="dxa"/>
        <w:tblInd w:w="211" w:type="dxa"/>
        <w:tblBorders>
          <w:top w:val="single" w:sz="4" w:space="0" w:color="auto"/>
          <w:left w:val="single" w:sz="4" w:space="0" w:color="auto"/>
          <w:bottom w:val="single" w:sz="4" w:space="0" w:color="auto"/>
          <w:right w:val="single" w:sz="4" w:space="0" w:color="auto"/>
        </w:tblBorders>
        <w:tblLook w:val="0000"/>
      </w:tblPr>
      <w:tblGrid>
        <w:gridCol w:w="5567"/>
        <w:gridCol w:w="1710"/>
        <w:gridCol w:w="1903"/>
      </w:tblGrid>
      <w:tr w:rsidR="004B6963">
        <w:trPr>
          <w:trHeight w:val="510"/>
        </w:trPr>
        <w:tc>
          <w:tcPr>
            <w:tcW w:w="5567" w:type="dxa"/>
            <w:tcBorders>
              <w:top w:val="single" w:sz="18" w:space="0" w:color="auto"/>
              <w:left w:val="single" w:sz="4" w:space="0" w:color="auto"/>
              <w:bottom w:val="single" w:sz="18" w:space="0" w:color="auto"/>
              <w:right w:val="single" w:sz="4" w:space="0" w:color="auto"/>
            </w:tcBorders>
          </w:tcPr>
          <w:p w:rsidR="004B6963" w:rsidRDefault="004B6963" w:rsidP="000E2CBA">
            <w:pPr>
              <w:jc w:val="both"/>
              <w:rPr>
                <w:rFonts w:eastAsia="Arial Unicode MS"/>
                <w:b/>
                <w:bCs/>
                <w:sz w:val="24"/>
              </w:rPr>
            </w:pPr>
            <w:r>
              <w:rPr>
                <w:sz w:val="24"/>
              </w:rPr>
              <w:t> </w:t>
            </w:r>
            <w:r w:rsidR="00144757" w:rsidRPr="00144757">
              <w:rPr>
                <w:b/>
                <w:sz w:val="24"/>
              </w:rPr>
              <w:t>1</w:t>
            </w:r>
            <w:r w:rsidR="00144757">
              <w:rPr>
                <w:sz w:val="24"/>
              </w:rPr>
              <w:t xml:space="preserve"> </w:t>
            </w:r>
            <w:r w:rsidR="00623F57">
              <w:rPr>
                <w:b/>
                <w:bCs/>
                <w:sz w:val="24"/>
              </w:rPr>
              <w:t xml:space="preserve">Jan to </w:t>
            </w:r>
            <w:r w:rsidR="00A85472">
              <w:rPr>
                <w:b/>
                <w:bCs/>
                <w:sz w:val="24"/>
              </w:rPr>
              <w:t>31 Dec</w:t>
            </w:r>
            <w:r w:rsidR="007D4108">
              <w:rPr>
                <w:b/>
                <w:bCs/>
                <w:sz w:val="24"/>
              </w:rPr>
              <w:t xml:space="preserve"> 201</w:t>
            </w:r>
            <w:r w:rsidR="00C60738">
              <w:rPr>
                <w:b/>
                <w:bCs/>
                <w:sz w:val="24"/>
              </w:rPr>
              <w:t>5</w:t>
            </w:r>
          </w:p>
        </w:tc>
        <w:tc>
          <w:tcPr>
            <w:tcW w:w="1710" w:type="dxa"/>
            <w:tcBorders>
              <w:top w:val="single" w:sz="18" w:space="0" w:color="auto"/>
              <w:left w:val="single" w:sz="4" w:space="0" w:color="auto"/>
              <w:bottom w:val="single" w:sz="18" w:space="0" w:color="auto"/>
              <w:right w:val="single" w:sz="4" w:space="0" w:color="auto"/>
            </w:tcBorders>
          </w:tcPr>
          <w:p w:rsidR="004B6963" w:rsidRPr="002F0698" w:rsidRDefault="004B6963">
            <w:pPr>
              <w:pStyle w:val="Heading3"/>
              <w:spacing w:before="0" w:beforeAutospacing="0" w:after="0" w:afterAutospacing="0"/>
              <w:jc w:val="center"/>
              <w:rPr>
                <w:rFonts w:ascii="Times New Roman" w:hAnsi="Times New Roman" w:cs="Times New Roman"/>
                <w:color w:val="0070C0"/>
                <w:sz w:val="24"/>
              </w:rPr>
            </w:pPr>
            <w:r w:rsidRPr="002F0698">
              <w:rPr>
                <w:rFonts w:ascii="Times New Roman" w:hAnsi="Times New Roman" w:cs="Times New Roman"/>
                <w:color w:val="0070C0"/>
                <w:sz w:val="24"/>
                <w:szCs w:val="24"/>
              </w:rPr>
              <w:t>WTB</w:t>
            </w:r>
          </w:p>
        </w:tc>
        <w:tc>
          <w:tcPr>
            <w:tcW w:w="1903" w:type="dxa"/>
            <w:tcBorders>
              <w:top w:val="single" w:sz="18" w:space="0" w:color="auto"/>
              <w:left w:val="single" w:sz="4" w:space="0" w:color="auto"/>
              <w:bottom w:val="single" w:sz="18" w:space="0" w:color="auto"/>
              <w:right w:val="single" w:sz="4" w:space="0" w:color="auto"/>
            </w:tcBorders>
          </w:tcPr>
          <w:p w:rsidR="004B6963" w:rsidRPr="00851C4C" w:rsidRDefault="004B6963">
            <w:pPr>
              <w:pStyle w:val="Heading2"/>
              <w:spacing w:before="0" w:beforeAutospacing="0" w:after="0" w:afterAutospacing="0"/>
              <w:jc w:val="center"/>
              <w:rPr>
                <w:rFonts w:ascii="Times New Roman" w:hAnsi="Times New Roman" w:cs="Times New Roman"/>
                <w:color w:val="C0504D"/>
                <w:sz w:val="24"/>
                <w:szCs w:val="24"/>
              </w:rPr>
            </w:pPr>
            <w:r w:rsidRPr="00851C4C">
              <w:rPr>
                <w:rFonts w:ascii="Times New Roman" w:hAnsi="Times New Roman" w:cs="Times New Roman"/>
                <w:color w:val="C0504D"/>
                <w:sz w:val="24"/>
                <w:szCs w:val="24"/>
              </w:rPr>
              <w:t xml:space="preserve">CCH </w:t>
            </w:r>
            <w:r w:rsidRPr="00851C4C">
              <w:rPr>
                <w:rFonts w:ascii="Times New Roman" w:hAnsi="Times New Roman" w:cs="Times New Roman"/>
                <w:i/>
                <w:iCs/>
                <w:color w:val="C0504D"/>
                <w:sz w:val="24"/>
                <w:szCs w:val="24"/>
              </w:rPr>
              <w:t>Tax Week</w:t>
            </w:r>
          </w:p>
        </w:tc>
      </w:tr>
      <w:tr w:rsidR="004B6963">
        <w:trPr>
          <w:trHeight w:val="440"/>
        </w:trPr>
        <w:tc>
          <w:tcPr>
            <w:tcW w:w="5567" w:type="dxa"/>
            <w:tcBorders>
              <w:top w:val="single" w:sz="18" w:space="0" w:color="auto"/>
              <w:left w:val="single" w:sz="4" w:space="0" w:color="auto"/>
              <w:bottom w:val="single" w:sz="4" w:space="0" w:color="auto"/>
              <w:right w:val="single" w:sz="4" w:space="0" w:color="auto"/>
            </w:tcBorders>
          </w:tcPr>
          <w:p w:rsidR="004B6963" w:rsidRDefault="004B6963">
            <w:pPr>
              <w:jc w:val="both"/>
              <w:rPr>
                <w:rFonts w:eastAsia="Arial Unicode MS"/>
                <w:sz w:val="24"/>
              </w:rPr>
            </w:pPr>
            <w:r>
              <w:rPr>
                <w:sz w:val="24"/>
              </w:rPr>
              <w:t>No. of issues</w:t>
            </w:r>
            <w:r w:rsidR="00477BA7">
              <w:rPr>
                <w:sz w:val="24"/>
              </w:rPr>
              <w:t xml:space="preserve"> published</w:t>
            </w:r>
          </w:p>
        </w:tc>
        <w:tc>
          <w:tcPr>
            <w:tcW w:w="1710" w:type="dxa"/>
            <w:tcBorders>
              <w:top w:val="single" w:sz="18" w:space="0" w:color="auto"/>
              <w:left w:val="single" w:sz="4" w:space="0" w:color="auto"/>
              <w:bottom w:val="single" w:sz="4" w:space="0" w:color="auto"/>
              <w:right w:val="single" w:sz="4" w:space="0" w:color="auto"/>
            </w:tcBorders>
          </w:tcPr>
          <w:p w:rsidR="004B6963" w:rsidRPr="002D2CEF" w:rsidRDefault="00A85472">
            <w:pPr>
              <w:jc w:val="center"/>
              <w:rPr>
                <w:rFonts w:eastAsia="Arial Unicode MS"/>
                <w:b/>
                <w:color w:val="0070C0"/>
                <w:sz w:val="24"/>
                <w:szCs w:val="24"/>
              </w:rPr>
            </w:pPr>
            <w:r>
              <w:rPr>
                <w:b/>
                <w:color w:val="0070C0"/>
                <w:sz w:val="24"/>
              </w:rPr>
              <w:t>53</w:t>
            </w:r>
          </w:p>
        </w:tc>
        <w:tc>
          <w:tcPr>
            <w:tcW w:w="1903" w:type="dxa"/>
            <w:tcBorders>
              <w:top w:val="single" w:sz="18" w:space="0" w:color="auto"/>
              <w:left w:val="single" w:sz="4" w:space="0" w:color="auto"/>
              <w:bottom w:val="single" w:sz="4" w:space="0" w:color="auto"/>
              <w:right w:val="single" w:sz="4" w:space="0" w:color="auto"/>
            </w:tcBorders>
          </w:tcPr>
          <w:p w:rsidR="004B6963" w:rsidRPr="002D2CEF" w:rsidRDefault="00A85472" w:rsidP="004B6963">
            <w:pPr>
              <w:jc w:val="center"/>
              <w:rPr>
                <w:rFonts w:eastAsia="Arial Unicode MS"/>
                <w:b/>
                <w:color w:val="C0504D"/>
                <w:sz w:val="24"/>
                <w:szCs w:val="24"/>
              </w:rPr>
            </w:pPr>
            <w:r>
              <w:rPr>
                <w:b/>
                <w:color w:val="C0504D"/>
                <w:sz w:val="24"/>
              </w:rPr>
              <w:t>50</w:t>
            </w:r>
          </w:p>
        </w:tc>
      </w:tr>
      <w:tr w:rsidR="004B6963">
        <w:trPr>
          <w:trHeight w:val="440"/>
        </w:trPr>
        <w:tc>
          <w:tcPr>
            <w:tcW w:w="5567" w:type="dxa"/>
            <w:tcBorders>
              <w:top w:val="single" w:sz="4" w:space="0" w:color="auto"/>
              <w:left w:val="single" w:sz="4" w:space="0" w:color="auto"/>
              <w:bottom w:val="single" w:sz="4" w:space="0" w:color="auto"/>
              <w:right w:val="single" w:sz="4" w:space="0" w:color="auto"/>
            </w:tcBorders>
          </w:tcPr>
          <w:p w:rsidR="004B6963" w:rsidRDefault="004B6963">
            <w:pPr>
              <w:jc w:val="both"/>
              <w:rPr>
                <w:rFonts w:eastAsia="Arial Unicode MS"/>
                <w:sz w:val="24"/>
              </w:rPr>
            </w:pPr>
            <w:r>
              <w:rPr>
                <w:sz w:val="24"/>
              </w:rPr>
              <w:t>No. of updates</w:t>
            </w:r>
          </w:p>
        </w:tc>
        <w:tc>
          <w:tcPr>
            <w:tcW w:w="1710" w:type="dxa"/>
            <w:tcBorders>
              <w:top w:val="single" w:sz="4" w:space="0" w:color="auto"/>
              <w:left w:val="single" w:sz="4" w:space="0" w:color="auto"/>
              <w:bottom w:val="single" w:sz="4" w:space="0" w:color="auto"/>
              <w:right w:val="single" w:sz="4" w:space="0" w:color="auto"/>
            </w:tcBorders>
          </w:tcPr>
          <w:p w:rsidR="004B6963" w:rsidRPr="002D2CEF" w:rsidRDefault="0024188F" w:rsidP="00BD0AAF">
            <w:pPr>
              <w:jc w:val="center"/>
              <w:rPr>
                <w:rFonts w:eastAsia="Arial Unicode MS"/>
                <w:b/>
                <w:color w:val="0070C0"/>
                <w:sz w:val="24"/>
                <w:szCs w:val="24"/>
              </w:rPr>
            </w:pPr>
            <w:r>
              <w:rPr>
                <w:rFonts w:eastAsia="Arial Unicode MS"/>
                <w:b/>
                <w:color w:val="0070C0"/>
                <w:sz w:val="24"/>
                <w:szCs w:val="24"/>
              </w:rPr>
              <w:t>1,</w:t>
            </w:r>
            <w:r w:rsidR="00A85472">
              <w:rPr>
                <w:rFonts w:eastAsia="Arial Unicode MS"/>
                <w:b/>
                <w:color w:val="0070C0"/>
                <w:sz w:val="24"/>
                <w:szCs w:val="24"/>
              </w:rPr>
              <w:t>969</w:t>
            </w:r>
          </w:p>
        </w:tc>
        <w:tc>
          <w:tcPr>
            <w:tcW w:w="1903" w:type="dxa"/>
            <w:tcBorders>
              <w:top w:val="single" w:sz="4" w:space="0" w:color="auto"/>
              <w:left w:val="single" w:sz="4" w:space="0" w:color="auto"/>
              <w:bottom w:val="single" w:sz="4" w:space="0" w:color="auto"/>
              <w:right w:val="single" w:sz="4" w:space="0" w:color="auto"/>
            </w:tcBorders>
          </w:tcPr>
          <w:p w:rsidR="004B6963" w:rsidRPr="002D2CEF" w:rsidRDefault="00A85472" w:rsidP="00BD0AAF">
            <w:pPr>
              <w:jc w:val="center"/>
              <w:rPr>
                <w:rFonts w:eastAsia="Arial Unicode MS"/>
                <w:b/>
                <w:color w:val="C0504D"/>
                <w:sz w:val="24"/>
                <w:szCs w:val="24"/>
              </w:rPr>
            </w:pPr>
            <w:r>
              <w:rPr>
                <w:rFonts w:eastAsia="Arial Unicode MS"/>
                <w:b/>
                <w:color w:val="C0504D"/>
                <w:sz w:val="24"/>
                <w:szCs w:val="24"/>
              </w:rPr>
              <w:t>1,054</w:t>
            </w:r>
          </w:p>
        </w:tc>
      </w:tr>
      <w:tr w:rsidR="004B6963">
        <w:trPr>
          <w:trHeight w:val="440"/>
        </w:trPr>
        <w:tc>
          <w:tcPr>
            <w:tcW w:w="5567" w:type="dxa"/>
            <w:tcBorders>
              <w:top w:val="single" w:sz="4" w:space="0" w:color="auto"/>
              <w:left w:val="single" w:sz="4" w:space="0" w:color="auto"/>
              <w:bottom w:val="single" w:sz="4" w:space="0" w:color="auto"/>
              <w:right w:val="single" w:sz="4" w:space="0" w:color="auto"/>
            </w:tcBorders>
          </w:tcPr>
          <w:p w:rsidR="004B6963" w:rsidRDefault="004B6963">
            <w:pPr>
              <w:jc w:val="both"/>
              <w:rPr>
                <w:rFonts w:eastAsia="Arial Unicode MS"/>
                <w:sz w:val="24"/>
              </w:rPr>
            </w:pPr>
            <w:r>
              <w:rPr>
                <w:sz w:val="24"/>
              </w:rPr>
              <w:t>No. of Practitioner Articles</w:t>
            </w:r>
          </w:p>
        </w:tc>
        <w:tc>
          <w:tcPr>
            <w:tcW w:w="1710" w:type="dxa"/>
            <w:tcBorders>
              <w:top w:val="single" w:sz="4" w:space="0" w:color="auto"/>
              <w:left w:val="single" w:sz="4" w:space="0" w:color="auto"/>
              <w:bottom w:val="single" w:sz="4" w:space="0" w:color="auto"/>
              <w:right w:val="single" w:sz="4" w:space="0" w:color="auto"/>
            </w:tcBorders>
          </w:tcPr>
          <w:p w:rsidR="004B6963" w:rsidRPr="002D2CEF" w:rsidRDefault="00556CFC">
            <w:pPr>
              <w:jc w:val="center"/>
              <w:rPr>
                <w:rFonts w:eastAsia="Arial Unicode MS"/>
                <w:b/>
                <w:color w:val="0070C0"/>
                <w:sz w:val="24"/>
                <w:szCs w:val="24"/>
              </w:rPr>
            </w:pPr>
            <w:r>
              <w:rPr>
                <w:rFonts w:eastAsia="Arial Unicode MS"/>
                <w:b/>
                <w:color w:val="0070C0"/>
                <w:sz w:val="24"/>
                <w:szCs w:val="24"/>
              </w:rPr>
              <w:t>10</w:t>
            </w:r>
            <w:r w:rsidR="00BD0AAF">
              <w:rPr>
                <w:rFonts w:eastAsia="Arial Unicode MS"/>
                <w:b/>
                <w:color w:val="0070C0"/>
                <w:sz w:val="24"/>
                <w:szCs w:val="24"/>
              </w:rPr>
              <w:t>6</w:t>
            </w:r>
          </w:p>
        </w:tc>
        <w:tc>
          <w:tcPr>
            <w:tcW w:w="1903" w:type="dxa"/>
            <w:tcBorders>
              <w:top w:val="single" w:sz="4" w:space="0" w:color="auto"/>
              <w:left w:val="single" w:sz="4" w:space="0" w:color="auto"/>
              <w:bottom w:val="single" w:sz="4" w:space="0" w:color="auto"/>
              <w:right w:val="single" w:sz="4" w:space="0" w:color="auto"/>
            </w:tcBorders>
          </w:tcPr>
          <w:p w:rsidR="004B6963" w:rsidRPr="002D2CEF" w:rsidRDefault="00A85472">
            <w:pPr>
              <w:jc w:val="center"/>
              <w:rPr>
                <w:rFonts w:eastAsia="Arial Unicode MS"/>
                <w:b/>
                <w:color w:val="C0504D"/>
                <w:sz w:val="24"/>
                <w:szCs w:val="24"/>
              </w:rPr>
            </w:pPr>
            <w:r>
              <w:rPr>
                <w:rFonts w:eastAsia="Arial Unicode MS"/>
                <w:b/>
                <w:color w:val="C0504D"/>
                <w:sz w:val="24"/>
                <w:szCs w:val="24"/>
              </w:rPr>
              <w:t>50</w:t>
            </w:r>
          </w:p>
        </w:tc>
      </w:tr>
      <w:tr w:rsidR="004B6963">
        <w:trPr>
          <w:trHeight w:val="440"/>
        </w:trPr>
        <w:tc>
          <w:tcPr>
            <w:tcW w:w="5567" w:type="dxa"/>
            <w:tcBorders>
              <w:top w:val="single" w:sz="4" w:space="0" w:color="auto"/>
              <w:left w:val="single" w:sz="4" w:space="0" w:color="auto"/>
              <w:bottom w:val="single" w:sz="4" w:space="0" w:color="auto"/>
              <w:right w:val="single" w:sz="4" w:space="0" w:color="auto"/>
            </w:tcBorders>
          </w:tcPr>
          <w:p w:rsidR="004B6963" w:rsidRDefault="009A5AA0" w:rsidP="009A5AA0">
            <w:pPr>
              <w:jc w:val="both"/>
              <w:rPr>
                <w:rFonts w:eastAsia="Arial Unicode MS"/>
                <w:sz w:val="24"/>
              </w:rPr>
            </w:pPr>
            <w:r>
              <w:rPr>
                <w:sz w:val="24"/>
              </w:rPr>
              <w:t>Regular t</w:t>
            </w:r>
            <w:r w:rsidR="007F5CB9">
              <w:rPr>
                <w:sz w:val="24"/>
              </w:rPr>
              <w:t xml:space="preserve">ax-specific </w:t>
            </w:r>
            <w:r w:rsidR="004B6963">
              <w:rPr>
                <w:sz w:val="24"/>
              </w:rPr>
              <w:t>status of Bills table</w:t>
            </w:r>
            <w:r>
              <w:rPr>
                <w:sz w:val="24"/>
              </w:rPr>
              <w:t>s</w:t>
            </w:r>
          </w:p>
        </w:tc>
        <w:tc>
          <w:tcPr>
            <w:tcW w:w="1710" w:type="dxa"/>
            <w:tcBorders>
              <w:top w:val="single" w:sz="4" w:space="0" w:color="auto"/>
              <w:left w:val="single" w:sz="4" w:space="0" w:color="auto"/>
              <w:bottom w:val="single" w:sz="4" w:space="0" w:color="auto"/>
              <w:right w:val="single" w:sz="4" w:space="0" w:color="auto"/>
            </w:tcBorders>
          </w:tcPr>
          <w:p w:rsidR="004B6963" w:rsidRPr="002D2CEF" w:rsidRDefault="004B6963">
            <w:pPr>
              <w:jc w:val="center"/>
              <w:rPr>
                <w:rFonts w:eastAsia="Arial Unicode MS"/>
                <w:b/>
                <w:color w:val="0070C0"/>
                <w:sz w:val="24"/>
                <w:szCs w:val="24"/>
              </w:rPr>
            </w:pPr>
            <w:r w:rsidRPr="002D2CEF">
              <w:rPr>
                <w:rFonts w:eastAsia="Arial Unicode MS"/>
                <w:b/>
                <w:color w:val="0070C0"/>
                <w:sz w:val="24"/>
                <w:szCs w:val="24"/>
              </w:rPr>
              <w:t>Yes</w:t>
            </w:r>
          </w:p>
        </w:tc>
        <w:tc>
          <w:tcPr>
            <w:tcW w:w="1903" w:type="dxa"/>
            <w:tcBorders>
              <w:top w:val="single" w:sz="4" w:space="0" w:color="auto"/>
              <w:left w:val="single" w:sz="4" w:space="0" w:color="auto"/>
              <w:bottom w:val="single" w:sz="4" w:space="0" w:color="auto"/>
              <w:right w:val="single" w:sz="4" w:space="0" w:color="auto"/>
            </w:tcBorders>
          </w:tcPr>
          <w:p w:rsidR="004B6963" w:rsidRPr="002D2CEF" w:rsidRDefault="004B6963">
            <w:pPr>
              <w:jc w:val="center"/>
              <w:rPr>
                <w:rFonts w:eastAsia="Arial Unicode MS"/>
                <w:b/>
                <w:color w:val="C0504D"/>
                <w:sz w:val="24"/>
                <w:szCs w:val="24"/>
              </w:rPr>
            </w:pPr>
            <w:r w:rsidRPr="002D2CEF">
              <w:rPr>
                <w:rFonts w:eastAsia="Arial Unicode MS"/>
                <w:b/>
                <w:color w:val="C0504D"/>
                <w:sz w:val="24"/>
                <w:szCs w:val="24"/>
              </w:rPr>
              <w:t>No</w:t>
            </w:r>
          </w:p>
        </w:tc>
      </w:tr>
      <w:tr w:rsidR="004B6963">
        <w:trPr>
          <w:trHeight w:val="440"/>
        </w:trPr>
        <w:tc>
          <w:tcPr>
            <w:tcW w:w="5567" w:type="dxa"/>
            <w:tcBorders>
              <w:top w:val="single" w:sz="4" w:space="0" w:color="auto"/>
              <w:left w:val="single" w:sz="4" w:space="0" w:color="auto"/>
              <w:bottom w:val="single" w:sz="4" w:space="0" w:color="auto"/>
              <w:right w:val="single" w:sz="4" w:space="0" w:color="auto"/>
            </w:tcBorders>
          </w:tcPr>
          <w:p w:rsidR="004B6963" w:rsidRDefault="002A5A43" w:rsidP="00225CF2">
            <w:pPr>
              <w:jc w:val="both"/>
              <w:rPr>
                <w:rFonts w:eastAsia="Arial Unicode MS"/>
                <w:sz w:val="24"/>
              </w:rPr>
            </w:pPr>
            <w:r>
              <w:rPr>
                <w:sz w:val="24"/>
              </w:rPr>
              <w:t>Special 20</w:t>
            </w:r>
            <w:r w:rsidR="00E101D7">
              <w:rPr>
                <w:sz w:val="24"/>
              </w:rPr>
              <w:t>1</w:t>
            </w:r>
            <w:r w:rsidR="00AB275E">
              <w:rPr>
                <w:sz w:val="24"/>
              </w:rPr>
              <w:t>5</w:t>
            </w:r>
            <w:r w:rsidR="004B6963">
              <w:rPr>
                <w:sz w:val="24"/>
              </w:rPr>
              <w:t xml:space="preserve"> Federa</w:t>
            </w:r>
            <w:r w:rsidR="00201B42">
              <w:rPr>
                <w:sz w:val="24"/>
              </w:rPr>
              <w:t>l Budget fo</w:t>
            </w:r>
            <w:r w:rsidR="00225CF2">
              <w:rPr>
                <w:sz w:val="24"/>
              </w:rPr>
              <w:t>llow-up reports (in WTB Issue 21</w:t>
            </w:r>
            <w:r w:rsidR="004B6963">
              <w:rPr>
                <w:sz w:val="24"/>
              </w:rPr>
              <w:t>)</w:t>
            </w:r>
          </w:p>
        </w:tc>
        <w:tc>
          <w:tcPr>
            <w:tcW w:w="1710" w:type="dxa"/>
            <w:tcBorders>
              <w:top w:val="single" w:sz="4" w:space="0" w:color="auto"/>
              <w:left w:val="single" w:sz="4" w:space="0" w:color="auto"/>
              <w:bottom w:val="single" w:sz="4" w:space="0" w:color="auto"/>
              <w:right w:val="single" w:sz="4" w:space="0" w:color="auto"/>
            </w:tcBorders>
          </w:tcPr>
          <w:p w:rsidR="004B6963" w:rsidRPr="002D2CEF" w:rsidRDefault="004B6963">
            <w:pPr>
              <w:jc w:val="center"/>
              <w:rPr>
                <w:rFonts w:eastAsia="Arial Unicode MS"/>
                <w:b/>
                <w:color w:val="0070C0"/>
                <w:sz w:val="24"/>
              </w:rPr>
            </w:pPr>
            <w:r w:rsidRPr="002D2CEF">
              <w:rPr>
                <w:b/>
                <w:color w:val="0070C0"/>
                <w:sz w:val="24"/>
              </w:rPr>
              <w:t>Yes</w:t>
            </w:r>
          </w:p>
        </w:tc>
        <w:tc>
          <w:tcPr>
            <w:tcW w:w="1903" w:type="dxa"/>
            <w:tcBorders>
              <w:top w:val="single" w:sz="4" w:space="0" w:color="auto"/>
              <w:left w:val="single" w:sz="4" w:space="0" w:color="auto"/>
              <w:bottom w:val="single" w:sz="4" w:space="0" w:color="auto"/>
              <w:right w:val="single" w:sz="4" w:space="0" w:color="auto"/>
            </w:tcBorders>
          </w:tcPr>
          <w:p w:rsidR="004B6963" w:rsidRPr="002D2CEF" w:rsidRDefault="004B6963">
            <w:pPr>
              <w:jc w:val="center"/>
              <w:rPr>
                <w:rFonts w:eastAsia="Arial Unicode MS"/>
                <w:b/>
                <w:color w:val="C0504D"/>
                <w:sz w:val="24"/>
              </w:rPr>
            </w:pPr>
            <w:r w:rsidRPr="002D2CEF">
              <w:rPr>
                <w:b/>
                <w:color w:val="C0504D"/>
                <w:sz w:val="24"/>
              </w:rPr>
              <w:t>No</w:t>
            </w:r>
          </w:p>
        </w:tc>
      </w:tr>
      <w:tr w:rsidR="0031619C">
        <w:trPr>
          <w:trHeight w:val="440"/>
        </w:trPr>
        <w:tc>
          <w:tcPr>
            <w:tcW w:w="5567" w:type="dxa"/>
            <w:tcBorders>
              <w:top w:val="single" w:sz="4" w:space="0" w:color="auto"/>
              <w:left w:val="single" w:sz="4" w:space="0" w:color="auto"/>
              <w:bottom w:val="single" w:sz="4" w:space="0" w:color="auto"/>
              <w:right w:val="single" w:sz="4" w:space="0" w:color="auto"/>
            </w:tcBorders>
          </w:tcPr>
          <w:p w:rsidR="0031619C" w:rsidRDefault="0031619C" w:rsidP="00225CF2">
            <w:pPr>
              <w:jc w:val="both"/>
              <w:rPr>
                <w:sz w:val="24"/>
              </w:rPr>
            </w:pPr>
            <w:r>
              <w:rPr>
                <w:sz w:val="24"/>
              </w:rPr>
              <w:t>Year end tax planning special issue</w:t>
            </w:r>
          </w:p>
        </w:tc>
        <w:tc>
          <w:tcPr>
            <w:tcW w:w="1710" w:type="dxa"/>
            <w:tcBorders>
              <w:top w:val="single" w:sz="4" w:space="0" w:color="auto"/>
              <w:left w:val="single" w:sz="4" w:space="0" w:color="auto"/>
              <w:bottom w:val="single" w:sz="4" w:space="0" w:color="auto"/>
              <w:right w:val="single" w:sz="4" w:space="0" w:color="auto"/>
            </w:tcBorders>
          </w:tcPr>
          <w:p w:rsidR="0031619C" w:rsidRPr="002D2CEF" w:rsidRDefault="0031619C">
            <w:pPr>
              <w:jc w:val="center"/>
              <w:rPr>
                <w:b/>
                <w:color w:val="0070C0"/>
                <w:sz w:val="24"/>
              </w:rPr>
            </w:pPr>
            <w:r>
              <w:rPr>
                <w:b/>
                <w:color w:val="0070C0"/>
                <w:sz w:val="24"/>
              </w:rPr>
              <w:t>Yes</w:t>
            </w:r>
          </w:p>
        </w:tc>
        <w:tc>
          <w:tcPr>
            <w:tcW w:w="1903" w:type="dxa"/>
            <w:tcBorders>
              <w:top w:val="single" w:sz="4" w:space="0" w:color="auto"/>
              <w:left w:val="single" w:sz="4" w:space="0" w:color="auto"/>
              <w:bottom w:val="single" w:sz="4" w:space="0" w:color="auto"/>
              <w:right w:val="single" w:sz="4" w:space="0" w:color="auto"/>
            </w:tcBorders>
          </w:tcPr>
          <w:p w:rsidR="0031619C" w:rsidRPr="002D2CEF" w:rsidRDefault="0031619C">
            <w:pPr>
              <w:jc w:val="center"/>
              <w:rPr>
                <w:b/>
                <w:color w:val="C0504D"/>
                <w:sz w:val="24"/>
              </w:rPr>
            </w:pPr>
            <w:r>
              <w:rPr>
                <w:b/>
                <w:color w:val="C0504D"/>
                <w:sz w:val="24"/>
              </w:rPr>
              <w:t>No</w:t>
            </w:r>
          </w:p>
        </w:tc>
      </w:tr>
      <w:tr w:rsidR="004B6963">
        <w:trPr>
          <w:trHeight w:val="440"/>
        </w:trPr>
        <w:tc>
          <w:tcPr>
            <w:tcW w:w="5567" w:type="dxa"/>
            <w:tcBorders>
              <w:top w:val="single" w:sz="4" w:space="0" w:color="auto"/>
              <w:left w:val="single" w:sz="4" w:space="0" w:color="auto"/>
              <w:bottom w:val="single" w:sz="18" w:space="0" w:color="auto"/>
              <w:right w:val="single" w:sz="4" w:space="0" w:color="auto"/>
            </w:tcBorders>
          </w:tcPr>
          <w:p w:rsidR="004B6963" w:rsidRDefault="004B6963">
            <w:pPr>
              <w:jc w:val="both"/>
              <w:rPr>
                <w:rFonts w:eastAsia="Arial Unicode MS"/>
                <w:sz w:val="24"/>
              </w:rPr>
            </w:pPr>
            <w:r>
              <w:rPr>
                <w:sz w:val="24"/>
              </w:rPr>
              <w:t>Recent articles research tool - references tax articles in a wide variety of journals - saves time for busy practitioners</w:t>
            </w:r>
          </w:p>
        </w:tc>
        <w:tc>
          <w:tcPr>
            <w:tcW w:w="1710" w:type="dxa"/>
            <w:tcBorders>
              <w:top w:val="single" w:sz="4" w:space="0" w:color="auto"/>
              <w:left w:val="single" w:sz="4" w:space="0" w:color="auto"/>
              <w:bottom w:val="single" w:sz="18" w:space="0" w:color="auto"/>
              <w:right w:val="single" w:sz="4" w:space="0" w:color="auto"/>
            </w:tcBorders>
          </w:tcPr>
          <w:p w:rsidR="004B6963" w:rsidRPr="002D2CEF" w:rsidRDefault="004B6963">
            <w:pPr>
              <w:jc w:val="center"/>
              <w:rPr>
                <w:rFonts w:eastAsia="Arial Unicode MS"/>
                <w:b/>
                <w:color w:val="0070C0"/>
                <w:sz w:val="24"/>
              </w:rPr>
            </w:pPr>
            <w:r w:rsidRPr="002D2CEF">
              <w:rPr>
                <w:b/>
                <w:color w:val="0070C0"/>
                <w:sz w:val="24"/>
              </w:rPr>
              <w:t>Yes</w:t>
            </w:r>
          </w:p>
        </w:tc>
        <w:tc>
          <w:tcPr>
            <w:tcW w:w="1903" w:type="dxa"/>
            <w:tcBorders>
              <w:top w:val="single" w:sz="4" w:space="0" w:color="auto"/>
              <w:left w:val="single" w:sz="4" w:space="0" w:color="auto"/>
              <w:bottom w:val="single" w:sz="18" w:space="0" w:color="auto"/>
              <w:right w:val="single" w:sz="4" w:space="0" w:color="auto"/>
            </w:tcBorders>
          </w:tcPr>
          <w:p w:rsidR="004B6963" w:rsidRPr="002D2CEF" w:rsidRDefault="004B6963">
            <w:pPr>
              <w:jc w:val="center"/>
              <w:rPr>
                <w:rFonts w:eastAsia="Arial Unicode MS"/>
                <w:b/>
                <w:color w:val="C0504D"/>
                <w:sz w:val="24"/>
              </w:rPr>
            </w:pPr>
            <w:r w:rsidRPr="002D2CEF">
              <w:rPr>
                <w:b/>
                <w:color w:val="C0504D"/>
                <w:sz w:val="24"/>
              </w:rPr>
              <w:t>No</w:t>
            </w:r>
          </w:p>
        </w:tc>
      </w:tr>
    </w:tbl>
    <w:p w:rsidR="004B6963" w:rsidRDefault="004B6963"/>
    <w:p w:rsidR="00746AB3" w:rsidRDefault="00746AB3"/>
    <w:p w:rsidR="004B6963" w:rsidRDefault="004B6963">
      <w:pPr>
        <w:jc w:val="both"/>
        <w:rPr>
          <w:sz w:val="24"/>
        </w:rPr>
      </w:pPr>
      <w:r>
        <w:rPr>
          <w:b/>
          <w:bCs/>
          <w:sz w:val="24"/>
          <w:u w:val="single"/>
        </w:rPr>
        <w:t>More updates</w:t>
      </w:r>
      <w:r w:rsidR="00C2473F">
        <w:rPr>
          <w:b/>
          <w:bCs/>
          <w:sz w:val="24"/>
          <w:u w:val="single"/>
        </w:rPr>
        <w:t>,</w:t>
      </w:r>
      <w:r w:rsidR="001663A6">
        <w:rPr>
          <w:b/>
          <w:bCs/>
          <w:sz w:val="24"/>
          <w:u w:val="single"/>
        </w:rPr>
        <w:t xml:space="preserve"> more detail</w:t>
      </w:r>
      <w:r>
        <w:rPr>
          <w:b/>
          <w:bCs/>
          <w:sz w:val="24"/>
          <w:u w:val="single"/>
        </w:rPr>
        <w:t xml:space="preserve"> </w:t>
      </w:r>
      <w:r w:rsidR="00C2473F">
        <w:rPr>
          <w:b/>
          <w:bCs/>
          <w:sz w:val="24"/>
          <w:u w:val="single"/>
        </w:rPr>
        <w:t xml:space="preserve">and more analysis </w:t>
      </w:r>
      <w:r>
        <w:rPr>
          <w:b/>
          <w:bCs/>
          <w:sz w:val="24"/>
          <w:u w:val="single"/>
        </w:rPr>
        <w:t>with WTB</w:t>
      </w:r>
    </w:p>
    <w:p w:rsidR="004B6963" w:rsidRDefault="004B6963">
      <w:pPr>
        <w:jc w:val="both"/>
        <w:rPr>
          <w:sz w:val="24"/>
        </w:rPr>
      </w:pPr>
    </w:p>
    <w:p w:rsidR="004B6963" w:rsidRPr="00D26E7D" w:rsidRDefault="006472F5">
      <w:pPr>
        <w:jc w:val="both"/>
        <w:rPr>
          <w:b/>
          <w:color w:val="FF0000"/>
          <w:sz w:val="24"/>
        </w:rPr>
      </w:pPr>
      <w:r>
        <w:rPr>
          <w:b/>
          <w:color w:val="FF0000"/>
          <w:sz w:val="24"/>
        </w:rPr>
        <w:t>For calendar year 2015</w:t>
      </w:r>
      <w:r w:rsidR="004B6963" w:rsidRPr="00D26E7D">
        <w:rPr>
          <w:b/>
          <w:color w:val="FF0000"/>
          <w:sz w:val="24"/>
        </w:rPr>
        <w:t>, WTB:</w:t>
      </w:r>
    </w:p>
    <w:p w:rsidR="00C93DFF" w:rsidRPr="00D26E7D" w:rsidRDefault="00C93DFF">
      <w:pPr>
        <w:jc w:val="both"/>
        <w:rPr>
          <w:b/>
          <w:color w:val="FF0000"/>
          <w:sz w:val="24"/>
        </w:rPr>
      </w:pPr>
    </w:p>
    <w:p w:rsidR="004B6963" w:rsidRDefault="004B6963" w:rsidP="00D62777">
      <w:pPr>
        <w:numPr>
          <w:ilvl w:val="0"/>
          <w:numId w:val="2"/>
        </w:numPr>
        <w:jc w:val="both"/>
        <w:rPr>
          <w:b/>
          <w:color w:val="FF0000"/>
          <w:sz w:val="24"/>
        </w:rPr>
      </w:pPr>
      <w:r w:rsidRPr="00D26E7D">
        <w:rPr>
          <w:b/>
          <w:color w:val="FF0000"/>
          <w:sz w:val="24"/>
        </w:rPr>
        <w:t xml:space="preserve">Published </w:t>
      </w:r>
      <w:r w:rsidR="004E1967">
        <w:rPr>
          <w:b/>
          <w:color w:val="FF0000"/>
          <w:sz w:val="24"/>
        </w:rPr>
        <w:t>915</w:t>
      </w:r>
      <w:r w:rsidR="00E23E38" w:rsidRPr="00D26E7D">
        <w:rPr>
          <w:b/>
          <w:color w:val="FF0000"/>
          <w:sz w:val="24"/>
        </w:rPr>
        <w:t xml:space="preserve"> </w:t>
      </w:r>
      <w:r w:rsidR="005416FA" w:rsidRPr="00D26E7D">
        <w:rPr>
          <w:b/>
          <w:color w:val="FF0000"/>
          <w:sz w:val="24"/>
          <w:u w:val="single"/>
        </w:rPr>
        <w:t>MORE</w:t>
      </w:r>
      <w:r w:rsidR="00D62777" w:rsidRPr="00D26E7D">
        <w:rPr>
          <w:b/>
          <w:color w:val="FF0000"/>
          <w:sz w:val="24"/>
          <w:u w:val="single"/>
        </w:rPr>
        <w:t xml:space="preserve"> </w:t>
      </w:r>
      <w:r w:rsidRPr="00D26E7D">
        <w:rPr>
          <w:b/>
          <w:color w:val="FF0000"/>
          <w:sz w:val="24"/>
          <w:u w:val="single"/>
        </w:rPr>
        <w:t>updates</w:t>
      </w:r>
      <w:r w:rsidR="00E23E38" w:rsidRPr="00D26E7D">
        <w:rPr>
          <w:b/>
          <w:color w:val="FF0000"/>
          <w:sz w:val="24"/>
        </w:rPr>
        <w:t xml:space="preserve"> t</w:t>
      </w:r>
      <w:r w:rsidRPr="00D26E7D">
        <w:rPr>
          <w:b/>
          <w:color w:val="FF0000"/>
          <w:sz w:val="24"/>
        </w:rPr>
        <w:t xml:space="preserve">han did CCH </w:t>
      </w:r>
      <w:r w:rsidRPr="00D26E7D">
        <w:rPr>
          <w:b/>
          <w:i/>
          <w:iCs/>
          <w:color w:val="FF0000"/>
          <w:sz w:val="24"/>
        </w:rPr>
        <w:t>Tax Week</w:t>
      </w:r>
      <w:r w:rsidR="0031619C">
        <w:rPr>
          <w:b/>
          <w:color w:val="FF0000"/>
          <w:sz w:val="24"/>
        </w:rPr>
        <w:t xml:space="preserve"> ie </w:t>
      </w:r>
      <w:r w:rsidR="0031619C" w:rsidRPr="0031619C">
        <w:rPr>
          <w:b/>
          <w:color w:val="FF0000"/>
          <w:sz w:val="24"/>
          <w:highlight w:val="yellow"/>
        </w:rPr>
        <w:t xml:space="preserve">almost twice as many </w:t>
      </w:r>
      <w:proofErr w:type="gramStart"/>
      <w:r w:rsidR="0031619C" w:rsidRPr="0031619C">
        <w:rPr>
          <w:b/>
          <w:color w:val="FF0000"/>
          <w:sz w:val="24"/>
          <w:highlight w:val="yellow"/>
        </w:rPr>
        <w:t>updates</w:t>
      </w:r>
      <w:proofErr w:type="gramEnd"/>
      <w:r w:rsidR="0031619C" w:rsidRPr="0031619C">
        <w:rPr>
          <w:b/>
          <w:color w:val="FF0000"/>
          <w:sz w:val="24"/>
          <w:highlight w:val="yellow"/>
        </w:rPr>
        <w:t xml:space="preserve"> as CCH </w:t>
      </w:r>
      <w:r w:rsidR="0031619C" w:rsidRPr="0031619C">
        <w:rPr>
          <w:b/>
          <w:i/>
          <w:color w:val="FF0000"/>
          <w:sz w:val="24"/>
          <w:highlight w:val="yellow"/>
        </w:rPr>
        <w:t>Tax Week</w:t>
      </w:r>
      <w:r w:rsidR="0031619C">
        <w:rPr>
          <w:b/>
          <w:color w:val="FF0000"/>
          <w:sz w:val="24"/>
        </w:rPr>
        <w:t>.</w:t>
      </w:r>
      <w:r w:rsidR="00D62777" w:rsidRPr="00D26E7D">
        <w:rPr>
          <w:b/>
          <w:color w:val="FF0000"/>
          <w:sz w:val="24"/>
        </w:rPr>
        <w:t xml:space="preserve"> This meant that</w:t>
      </w:r>
      <w:r w:rsidR="004D202F">
        <w:rPr>
          <w:b/>
          <w:color w:val="FF0000"/>
          <w:sz w:val="24"/>
        </w:rPr>
        <w:t>, on average,</w:t>
      </w:r>
      <w:r w:rsidR="00D62777" w:rsidRPr="00D26E7D">
        <w:rPr>
          <w:b/>
          <w:color w:val="FF0000"/>
          <w:sz w:val="24"/>
        </w:rPr>
        <w:t xml:space="preserve"> WTB provided subscribers </w:t>
      </w:r>
      <w:r w:rsidR="00AA7CF0" w:rsidRPr="00D26E7D">
        <w:rPr>
          <w:b/>
          <w:color w:val="FF0000"/>
          <w:sz w:val="24"/>
        </w:rPr>
        <w:t xml:space="preserve">with </w:t>
      </w:r>
      <w:r w:rsidR="00A41560">
        <w:rPr>
          <w:b/>
          <w:color w:val="FF0000"/>
          <w:sz w:val="24"/>
        </w:rPr>
        <w:t>around</w:t>
      </w:r>
      <w:r w:rsidR="00655BE3">
        <w:rPr>
          <w:b/>
          <w:color w:val="FF0000"/>
          <w:sz w:val="24"/>
        </w:rPr>
        <w:t xml:space="preserve"> </w:t>
      </w:r>
      <w:r w:rsidR="004E1967">
        <w:rPr>
          <w:b/>
          <w:color w:val="FF0000"/>
          <w:sz w:val="24"/>
          <w:u w:val="single"/>
        </w:rPr>
        <w:t>7</w:t>
      </w:r>
      <w:r w:rsidR="0031619C">
        <w:rPr>
          <w:b/>
          <w:color w:val="FF0000"/>
          <w:sz w:val="24"/>
          <w:u w:val="single"/>
        </w:rPr>
        <w:t>6</w:t>
      </w:r>
      <w:r w:rsidR="00655BE3" w:rsidRPr="00655BE3">
        <w:rPr>
          <w:b/>
          <w:color w:val="FF0000"/>
          <w:sz w:val="24"/>
          <w:u w:val="single"/>
        </w:rPr>
        <w:t xml:space="preserve"> MORE updates per month</w:t>
      </w:r>
      <w:r w:rsidR="00655BE3">
        <w:rPr>
          <w:b/>
          <w:color w:val="FF0000"/>
          <w:sz w:val="24"/>
        </w:rPr>
        <w:t xml:space="preserve"> (</w:t>
      </w:r>
      <w:r w:rsidR="00E662F9" w:rsidRPr="00D26E7D">
        <w:rPr>
          <w:b/>
          <w:color w:val="FF0000"/>
          <w:sz w:val="24"/>
        </w:rPr>
        <w:t xml:space="preserve">around </w:t>
      </w:r>
      <w:r w:rsidR="0031619C">
        <w:rPr>
          <w:b/>
          <w:color w:val="FF0000"/>
          <w:sz w:val="24"/>
        </w:rPr>
        <w:t>20</w:t>
      </w:r>
      <w:r w:rsidR="00E23E38" w:rsidRPr="00D26E7D">
        <w:rPr>
          <w:b/>
          <w:color w:val="FF0000"/>
          <w:sz w:val="24"/>
        </w:rPr>
        <w:t xml:space="preserve"> </w:t>
      </w:r>
      <w:r w:rsidR="00D62777" w:rsidRPr="00D26E7D">
        <w:rPr>
          <w:b/>
          <w:color w:val="FF0000"/>
          <w:sz w:val="24"/>
          <w:u w:val="single"/>
        </w:rPr>
        <w:t>MORE updates</w:t>
      </w:r>
      <w:r w:rsidR="00E23E38" w:rsidRPr="00D26E7D">
        <w:rPr>
          <w:b/>
          <w:color w:val="FF0000"/>
          <w:sz w:val="24"/>
          <w:u w:val="single"/>
        </w:rPr>
        <w:t xml:space="preserve"> </w:t>
      </w:r>
      <w:r w:rsidR="00D62777" w:rsidRPr="00D26E7D">
        <w:rPr>
          <w:b/>
          <w:color w:val="FF0000"/>
          <w:sz w:val="24"/>
          <w:u w:val="single"/>
        </w:rPr>
        <w:t>per week</w:t>
      </w:r>
      <w:r w:rsidR="00655BE3">
        <w:rPr>
          <w:b/>
          <w:color w:val="FF0000"/>
          <w:sz w:val="24"/>
          <w:u w:val="single"/>
        </w:rPr>
        <w:t>)</w:t>
      </w:r>
      <w:r w:rsidR="00D62777" w:rsidRPr="00D26E7D">
        <w:rPr>
          <w:b/>
          <w:color w:val="FF0000"/>
          <w:sz w:val="24"/>
        </w:rPr>
        <w:t xml:space="preserve"> than CCH </w:t>
      </w:r>
      <w:r w:rsidR="00D62777" w:rsidRPr="00D26E7D">
        <w:rPr>
          <w:b/>
          <w:i/>
          <w:iCs/>
          <w:color w:val="FF0000"/>
          <w:sz w:val="24"/>
        </w:rPr>
        <w:t>Tax Week</w:t>
      </w:r>
      <w:r w:rsidR="00D62777" w:rsidRPr="00D26E7D">
        <w:rPr>
          <w:b/>
          <w:color w:val="FF0000"/>
          <w:sz w:val="24"/>
        </w:rPr>
        <w:t>.</w:t>
      </w:r>
    </w:p>
    <w:p w:rsidR="003C044D" w:rsidRPr="00D26E7D" w:rsidRDefault="003C044D" w:rsidP="003C044D">
      <w:pPr>
        <w:ind w:left="1080"/>
        <w:jc w:val="both"/>
        <w:rPr>
          <w:b/>
          <w:color w:val="FF0000"/>
          <w:sz w:val="24"/>
        </w:rPr>
      </w:pPr>
    </w:p>
    <w:p w:rsidR="000B1E15" w:rsidRDefault="000B1E15">
      <w:pPr>
        <w:numPr>
          <w:ilvl w:val="0"/>
          <w:numId w:val="2"/>
        </w:numPr>
        <w:jc w:val="both"/>
        <w:rPr>
          <w:b/>
          <w:color w:val="FF0000"/>
          <w:sz w:val="24"/>
        </w:rPr>
      </w:pPr>
      <w:r w:rsidRPr="00D26E7D">
        <w:rPr>
          <w:b/>
          <w:color w:val="FF0000"/>
          <w:sz w:val="24"/>
        </w:rPr>
        <w:t xml:space="preserve">Published </w:t>
      </w:r>
      <w:r w:rsidR="006472F5">
        <w:rPr>
          <w:b/>
          <w:color w:val="FF0000"/>
          <w:sz w:val="24"/>
          <w:u w:val="single"/>
        </w:rPr>
        <w:t>56</w:t>
      </w:r>
      <w:r w:rsidR="003738AC">
        <w:rPr>
          <w:b/>
          <w:color w:val="FF0000"/>
          <w:sz w:val="24"/>
          <w:u w:val="single"/>
        </w:rPr>
        <w:t xml:space="preserve"> MORE Practitioner A</w:t>
      </w:r>
      <w:r w:rsidRPr="00D26E7D">
        <w:rPr>
          <w:b/>
          <w:color w:val="FF0000"/>
          <w:sz w:val="24"/>
          <w:u w:val="single"/>
        </w:rPr>
        <w:t>rticles</w:t>
      </w:r>
      <w:r w:rsidRPr="00D26E7D">
        <w:rPr>
          <w:b/>
          <w:color w:val="FF0000"/>
          <w:sz w:val="24"/>
        </w:rPr>
        <w:t xml:space="preserve"> than CCH </w:t>
      </w:r>
      <w:r w:rsidRPr="00D26E7D">
        <w:rPr>
          <w:b/>
          <w:i/>
          <w:color w:val="FF0000"/>
          <w:sz w:val="24"/>
        </w:rPr>
        <w:t>Tax Week</w:t>
      </w:r>
      <w:r w:rsidR="0031619C">
        <w:rPr>
          <w:b/>
          <w:color w:val="FF0000"/>
          <w:sz w:val="24"/>
        </w:rPr>
        <w:t xml:space="preserve"> ie </w:t>
      </w:r>
      <w:r w:rsidR="00DA1211">
        <w:rPr>
          <w:b/>
          <w:color w:val="FF0000"/>
          <w:sz w:val="24"/>
          <w:highlight w:val="yellow"/>
        </w:rPr>
        <w:t>WTB published</w:t>
      </w:r>
      <w:r w:rsidR="0031619C" w:rsidRPr="0031619C">
        <w:rPr>
          <w:b/>
          <w:color w:val="FF0000"/>
          <w:sz w:val="24"/>
          <w:highlight w:val="yellow"/>
        </w:rPr>
        <w:t xml:space="preserve"> </w:t>
      </w:r>
      <w:r w:rsidR="004D202F">
        <w:rPr>
          <w:b/>
          <w:color w:val="FF0000"/>
          <w:sz w:val="24"/>
          <w:highlight w:val="yellow"/>
        </w:rPr>
        <w:t xml:space="preserve">more than </w:t>
      </w:r>
      <w:r w:rsidR="006472F5">
        <w:rPr>
          <w:b/>
          <w:color w:val="FF0000"/>
          <w:sz w:val="24"/>
          <w:highlight w:val="yellow"/>
        </w:rPr>
        <w:t>twice as many Practitioner Articles as did</w:t>
      </w:r>
      <w:r w:rsidR="0031619C" w:rsidRPr="0031619C">
        <w:rPr>
          <w:b/>
          <w:color w:val="FF0000"/>
          <w:sz w:val="24"/>
          <w:highlight w:val="yellow"/>
        </w:rPr>
        <w:t xml:space="preserve"> CCH </w:t>
      </w:r>
      <w:r w:rsidR="0031619C" w:rsidRPr="0031619C">
        <w:rPr>
          <w:b/>
          <w:i/>
          <w:color w:val="FF0000"/>
          <w:sz w:val="24"/>
          <w:highlight w:val="yellow"/>
        </w:rPr>
        <w:t>Tax Week</w:t>
      </w:r>
      <w:r w:rsidR="0031619C">
        <w:rPr>
          <w:b/>
          <w:color w:val="FF0000"/>
          <w:sz w:val="24"/>
        </w:rPr>
        <w:t>.</w:t>
      </w:r>
      <w:r w:rsidRPr="00D26E7D">
        <w:rPr>
          <w:b/>
          <w:color w:val="FF0000"/>
          <w:sz w:val="24"/>
        </w:rPr>
        <w:t xml:space="preserve"> </w:t>
      </w:r>
      <w:r w:rsidR="006774D1" w:rsidRPr="00D26E7D">
        <w:rPr>
          <w:b/>
          <w:color w:val="FF0000"/>
          <w:sz w:val="24"/>
        </w:rPr>
        <w:t>Tax p</w:t>
      </w:r>
      <w:r w:rsidR="00B00CCB" w:rsidRPr="00D26E7D">
        <w:rPr>
          <w:b/>
          <w:color w:val="FF0000"/>
          <w:sz w:val="24"/>
        </w:rPr>
        <w:t>ractitioners always want to read what other practitioners have to say about tax issues</w:t>
      </w:r>
      <w:r w:rsidR="006774D1" w:rsidRPr="00D26E7D">
        <w:rPr>
          <w:b/>
          <w:color w:val="FF0000"/>
          <w:sz w:val="24"/>
        </w:rPr>
        <w:t xml:space="preserve"> and WTB provides </w:t>
      </w:r>
      <w:r w:rsidR="00FF7F21" w:rsidRPr="00D26E7D">
        <w:rPr>
          <w:b/>
          <w:color w:val="FF0000"/>
          <w:sz w:val="24"/>
        </w:rPr>
        <w:t xml:space="preserve">a large number of </w:t>
      </w:r>
      <w:r w:rsidR="004E1967">
        <w:rPr>
          <w:b/>
          <w:color w:val="FF0000"/>
          <w:sz w:val="24"/>
        </w:rPr>
        <w:t xml:space="preserve">expert </w:t>
      </w:r>
      <w:r w:rsidR="00FF7F21" w:rsidRPr="00D26E7D">
        <w:rPr>
          <w:b/>
          <w:color w:val="FF0000"/>
          <w:sz w:val="24"/>
        </w:rPr>
        <w:t xml:space="preserve">practitioner views </w:t>
      </w:r>
      <w:r w:rsidR="004E1967">
        <w:rPr>
          <w:b/>
          <w:color w:val="FF0000"/>
          <w:sz w:val="24"/>
        </w:rPr>
        <w:t xml:space="preserve">on a wide range of issues </w:t>
      </w:r>
      <w:r w:rsidR="00FF7F21" w:rsidRPr="00D26E7D">
        <w:rPr>
          <w:b/>
          <w:color w:val="FF0000"/>
          <w:sz w:val="24"/>
        </w:rPr>
        <w:t>through</w:t>
      </w:r>
      <w:r w:rsidR="004E1967">
        <w:rPr>
          <w:b/>
          <w:color w:val="FF0000"/>
          <w:sz w:val="24"/>
        </w:rPr>
        <w:t>out</w:t>
      </w:r>
      <w:r w:rsidR="00FF7F21" w:rsidRPr="00D26E7D">
        <w:rPr>
          <w:b/>
          <w:color w:val="FF0000"/>
          <w:sz w:val="24"/>
        </w:rPr>
        <w:t xml:space="preserve"> the year</w:t>
      </w:r>
      <w:r w:rsidR="00B00CCB" w:rsidRPr="00D26E7D">
        <w:rPr>
          <w:b/>
          <w:color w:val="FF0000"/>
          <w:sz w:val="24"/>
        </w:rPr>
        <w:t>.</w:t>
      </w:r>
    </w:p>
    <w:p w:rsidR="00296CB9" w:rsidRDefault="00296CB9" w:rsidP="00296CB9">
      <w:pPr>
        <w:pStyle w:val="ListParagraph"/>
        <w:rPr>
          <w:b/>
          <w:color w:val="FF0000"/>
          <w:sz w:val="24"/>
        </w:rPr>
      </w:pPr>
    </w:p>
    <w:p w:rsidR="004B6963" w:rsidRPr="00566F55" w:rsidRDefault="0031619C" w:rsidP="00566F55">
      <w:pPr>
        <w:numPr>
          <w:ilvl w:val="0"/>
          <w:numId w:val="2"/>
        </w:numPr>
        <w:jc w:val="both"/>
        <w:rPr>
          <w:b/>
          <w:color w:val="FF0000"/>
          <w:sz w:val="24"/>
        </w:rPr>
      </w:pPr>
      <w:r>
        <w:rPr>
          <w:b/>
          <w:color w:val="FF0000"/>
          <w:sz w:val="24"/>
        </w:rPr>
        <w:lastRenderedPageBreak/>
        <w:t xml:space="preserve">Published </w:t>
      </w:r>
      <w:r w:rsidR="00296CB9">
        <w:rPr>
          <w:b/>
          <w:color w:val="FF0000"/>
          <w:sz w:val="24"/>
        </w:rPr>
        <w:t>Special Issue</w:t>
      </w:r>
      <w:r>
        <w:rPr>
          <w:b/>
          <w:color w:val="FF0000"/>
          <w:sz w:val="24"/>
        </w:rPr>
        <w:t>s</w:t>
      </w:r>
      <w:r w:rsidR="00296CB9">
        <w:rPr>
          <w:b/>
          <w:color w:val="FF0000"/>
          <w:sz w:val="24"/>
        </w:rPr>
        <w:t xml:space="preserve"> on the Tax </w:t>
      </w:r>
      <w:r w:rsidR="00E35CD2">
        <w:rPr>
          <w:b/>
          <w:color w:val="FF0000"/>
          <w:sz w:val="24"/>
        </w:rPr>
        <w:t xml:space="preserve">Reform </w:t>
      </w:r>
      <w:r w:rsidR="00296CB9">
        <w:rPr>
          <w:b/>
          <w:color w:val="FF0000"/>
          <w:sz w:val="24"/>
        </w:rPr>
        <w:t>Discussion Paper released by the Government on 30 March 2015</w:t>
      </w:r>
      <w:r>
        <w:rPr>
          <w:b/>
          <w:color w:val="FF0000"/>
          <w:sz w:val="24"/>
        </w:rPr>
        <w:t xml:space="preserve"> and a Year-end </w:t>
      </w:r>
      <w:r w:rsidR="008F19B0">
        <w:rPr>
          <w:b/>
          <w:color w:val="FF0000"/>
          <w:sz w:val="24"/>
        </w:rPr>
        <w:t xml:space="preserve">Tax </w:t>
      </w:r>
      <w:r>
        <w:rPr>
          <w:b/>
          <w:color w:val="FF0000"/>
          <w:sz w:val="24"/>
        </w:rPr>
        <w:t>Planning Special Issue</w:t>
      </w:r>
      <w:r w:rsidR="00296CB9">
        <w:rPr>
          <w:b/>
          <w:color w:val="FF0000"/>
          <w:sz w:val="24"/>
        </w:rPr>
        <w:t xml:space="preserve">. CCH </w:t>
      </w:r>
      <w:r w:rsidR="00296CB9" w:rsidRPr="00296CB9">
        <w:rPr>
          <w:b/>
          <w:i/>
          <w:color w:val="FF0000"/>
          <w:sz w:val="24"/>
        </w:rPr>
        <w:t>Tax Week</w:t>
      </w:r>
      <w:r>
        <w:rPr>
          <w:b/>
          <w:color w:val="FF0000"/>
          <w:sz w:val="24"/>
        </w:rPr>
        <w:t xml:space="preserve"> did </w:t>
      </w:r>
      <w:r w:rsidR="00E35CD2">
        <w:rPr>
          <w:b/>
          <w:color w:val="FF0000"/>
          <w:sz w:val="24"/>
        </w:rPr>
        <w:t xml:space="preserve">NOT </w:t>
      </w:r>
      <w:r>
        <w:rPr>
          <w:b/>
          <w:color w:val="FF0000"/>
          <w:sz w:val="24"/>
        </w:rPr>
        <w:t xml:space="preserve">publish </w:t>
      </w:r>
      <w:r w:rsidR="00296CB9">
        <w:rPr>
          <w:b/>
          <w:color w:val="FF0000"/>
          <w:sz w:val="24"/>
        </w:rPr>
        <w:t>special issue</w:t>
      </w:r>
      <w:r>
        <w:rPr>
          <w:b/>
          <w:color w:val="FF0000"/>
          <w:sz w:val="24"/>
        </w:rPr>
        <w:t xml:space="preserve">s on </w:t>
      </w:r>
      <w:r w:rsidR="008F19B0">
        <w:rPr>
          <w:b/>
          <w:color w:val="FF0000"/>
          <w:sz w:val="24"/>
        </w:rPr>
        <w:t xml:space="preserve">either of </w:t>
      </w:r>
      <w:r>
        <w:rPr>
          <w:b/>
          <w:color w:val="FF0000"/>
          <w:sz w:val="24"/>
        </w:rPr>
        <w:t>these matters</w:t>
      </w:r>
      <w:r w:rsidR="00296CB9">
        <w:rPr>
          <w:b/>
          <w:color w:val="FF0000"/>
          <w:sz w:val="24"/>
        </w:rPr>
        <w:t>.</w:t>
      </w:r>
    </w:p>
    <w:p w:rsidR="00C93DFF" w:rsidRDefault="00C93DFF">
      <w:pPr>
        <w:ind w:left="720"/>
        <w:jc w:val="both"/>
        <w:rPr>
          <w:sz w:val="24"/>
        </w:rPr>
      </w:pPr>
    </w:p>
    <w:p w:rsidR="0053285B" w:rsidRPr="0053285B" w:rsidRDefault="00DA520E" w:rsidP="0053285B">
      <w:pPr>
        <w:jc w:val="both"/>
        <w:rPr>
          <w:b/>
          <w:sz w:val="24"/>
          <w:u w:val="single"/>
        </w:rPr>
      </w:pPr>
      <w:r>
        <w:rPr>
          <w:b/>
          <w:sz w:val="24"/>
          <w:u w:val="single"/>
        </w:rPr>
        <w:t>2015</w:t>
      </w:r>
      <w:r w:rsidR="0053285B" w:rsidRPr="0053285B">
        <w:rPr>
          <w:b/>
          <w:sz w:val="24"/>
          <w:u w:val="single"/>
        </w:rPr>
        <w:t xml:space="preserve"> Budget: WTB v CCH Tax Week</w:t>
      </w:r>
    </w:p>
    <w:p w:rsidR="0053285B" w:rsidRPr="0053285B" w:rsidRDefault="0053285B" w:rsidP="0053285B">
      <w:pPr>
        <w:jc w:val="both"/>
        <w:rPr>
          <w:sz w:val="24"/>
        </w:rPr>
      </w:pPr>
    </w:p>
    <w:p w:rsidR="0053285B" w:rsidRDefault="0053285B" w:rsidP="0053285B">
      <w:pPr>
        <w:jc w:val="both"/>
        <w:rPr>
          <w:sz w:val="24"/>
        </w:rPr>
      </w:pPr>
      <w:r w:rsidRPr="0053285B">
        <w:rPr>
          <w:sz w:val="24"/>
        </w:rPr>
        <w:t xml:space="preserve">WTB </w:t>
      </w:r>
      <w:r w:rsidR="0058555D">
        <w:rPr>
          <w:sz w:val="24"/>
        </w:rPr>
        <w:t xml:space="preserve">published </w:t>
      </w:r>
      <w:r w:rsidR="00DA520E">
        <w:rPr>
          <w:sz w:val="24"/>
        </w:rPr>
        <w:t>56</w:t>
      </w:r>
      <w:r w:rsidRPr="0053285B">
        <w:rPr>
          <w:sz w:val="24"/>
        </w:rPr>
        <w:t xml:space="preserve"> pages v </w:t>
      </w:r>
      <w:r w:rsidRPr="00655BE3">
        <w:rPr>
          <w:i/>
          <w:sz w:val="24"/>
        </w:rPr>
        <w:t xml:space="preserve">CCH </w:t>
      </w:r>
      <w:r w:rsidR="00655BE3" w:rsidRPr="00655BE3">
        <w:rPr>
          <w:i/>
          <w:sz w:val="24"/>
        </w:rPr>
        <w:t>Tax Week</w:t>
      </w:r>
      <w:r w:rsidR="00655BE3">
        <w:rPr>
          <w:sz w:val="24"/>
        </w:rPr>
        <w:t xml:space="preserve"> </w:t>
      </w:r>
      <w:r w:rsidR="00DA520E">
        <w:rPr>
          <w:sz w:val="24"/>
        </w:rPr>
        <w:t>24</w:t>
      </w:r>
      <w:r w:rsidRPr="0053285B">
        <w:rPr>
          <w:sz w:val="24"/>
        </w:rPr>
        <w:t xml:space="preserve"> pages. CCH </w:t>
      </w:r>
      <w:r w:rsidR="0058555D">
        <w:rPr>
          <w:sz w:val="24"/>
        </w:rPr>
        <w:t xml:space="preserve">report </w:t>
      </w:r>
      <w:r w:rsidRPr="0053285B">
        <w:rPr>
          <w:sz w:val="24"/>
        </w:rPr>
        <w:t xml:space="preserve">was really “Budget light”. WTB report was a considerably more </w:t>
      </w:r>
      <w:r w:rsidR="0007231D">
        <w:rPr>
          <w:sz w:val="24"/>
        </w:rPr>
        <w:t xml:space="preserve">detailed, </w:t>
      </w:r>
      <w:r w:rsidRPr="0053285B">
        <w:rPr>
          <w:sz w:val="24"/>
        </w:rPr>
        <w:t>rounded and complete Budget report than CCH.</w:t>
      </w:r>
      <w:r w:rsidR="0007231D">
        <w:rPr>
          <w:sz w:val="24"/>
        </w:rPr>
        <w:t xml:space="preserve"> In fact, </w:t>
      </w:r>
      <w:r w:rsidR="0007231D" w:rsidRPr="00944422">
        <w:rPr>
          <w:sz w:val="24"/>
          <w:u w:val="single"/>
        </w:rPr>
        <w:t>WTB reported around 4 times more detail than CCH Tax Week</w:t>
      </w:r>
      <w:r w:rsidR="0007231D">
        <w:rPr>
          <w:sz w:val="24"/>
        </w:rPr>
        <w:t>.</w:t>
      </w:r>
    </w:p>
    <w:p w:rsidR="0048630C" w:rsidRDefault="0048630C" w:rsidP="0053285B">
      <w:pPr>
        <w:jc w:val="both"/>
        <w:rPr>
          <w:sz w:val="24"/>
        </w:rPr>
      </w:pPr>
    </w:p>
    <w:p w:rsidR="0048630C" w:rsidRDefault="0048630C" w:rsidP="0053285B">
      <w:pPr>
        <w:jc w:val="both"/>
        <w:rPr>
          <w:sz w:val="24"/>
        </w:rPr>
      </w:pPr>
      <w:r>
        <w:rPr>
          <w:sz w:val="24"/>
        </w:rPr>
        <w:t>CCH Budget report was confusing in that when it published on Budget night (</w:t>
      </w:r>
      <w:r w:rsidR="00A304C1">
        <w:rPr>
          <w:sz w:val="24"/>
          <w:u w:val="single"/>
        </w:rPr>
        <w:t>more than</w:t>
      </w:r>
      <w:r w:rsidRPr="00A304C1">
        <w:rPr>
          <w:sz w:val="24"/>
          <w:u w:val="single"/>
        </w:rPr>
        <w:t xml:space="preserve"> an hour AFTER WTB</w:t>
      </w:r>
      <w:r>
        <w:rPr>
          <w:sz w:val="24"/>
        </w:rPr>
        <w:t>), it was co-badged with Deloitte but there was no Deloitte content. CCH subsequently published a Tax Week Budget report dated 15 May 2015 (the Budget was on 12 May) which did contain Deloitte content (called "Deloitte insights"). The Deloitte content was however pretty lightweight with generalist statements, mostly about the multinational stuff.</w:t>
      </w:r>
    </w:p>
    <w:p w:rsidR="00085ACE" w:rsidRDefault="00085ACE" w:rsidP="0053285B">
      <w:pPr>
        <w:jc w:val="both"/>
        <w:rPr>
          <w:sz w:val="24"/>
        </w:rPr>
      </w:pPr>
    </w:p>
    <w:p w:rsidR="00085ACE" w:rsidRDefault="00085ACE" w:rsidP="0053285B">
      <w:pPr>
        <w:jc w:val="both"/>
        <w:rPr>
          <w:sz w:val="24"/>
        </w:rPr>
      </w:pPr>
      <w:r>
        <w:rPr>
          <w:sz w:val="24"/>
        </w:rPr>
        <w:t xml:space="preserve">On CCH IntelliConnect, their Budget </w:t>
      </w:r>
      <w:r w:rsidRPr="00085ACE">
        <w:rPr>
          <w:i/>
          <w:sz w:val="24"/>
        </w:rPr>
        <w:t>Tax Week</w:t>
      </w:r>
      <w:r>
        <w:rPr>
          <w:sz w:val="24"/>
        </w:rPr>
        <w:t xml:space="preserve"> appears as Issue 18, dated 15 May 2015. This looks quite odd given that the Budget was on 12 May. Conversely, the WTB Budget report is Issue 20, dated 12 May and appears as such on Checkpoint. The WTB report was up on Checkpoint on Budget night 12 May, whereas the CCH Budget report (including the Deloitte comment) was not on IntelliConnect until 15 May. </w:t>
      </w:r>
    </w:p>
    <w:p w:rsidR="004B511B" w:rsidRDefault="004B511B" w:rsidP="0053285B">
      <w:pPr>
        <w:jc w:val="both"/>
        <w:rPr>
          <w:sz w:val="24"/>
        </w:rPr>
      </w:pPr>
    </w:p>
    <w:p w:rsidR="0053285B" w:rsidRPr="0053285B" w:rsidRDefault="0053285B" w:rsidP="0053285B">
      <w:pPr>
        <w:jc w:val="both"/>
        <w:rPr>
          <w:b/>
          <w:sz w:val="24"/>
          <w:u w:val="single"/>
        </w:rPr>
      </w:pPr>
      <w:r w:rsidRPr="0053285B">
        <w:rPr>
          <w:b/>
          <w:sz w:val="24"/>
          <w:u w:val="single"/>
        </w:rPr>
        <w:t>Other reports</w:t>
      </w:r>
    </w:p>
    <w:p w:rsidR="0053285B" w:rsidRDefault="0053285B" w:rsidP="0053285B">
      <w:pPr>
        <w:jc w:val="both"/>
        <w:rPr>
          <w:sz w:val="24"/>
        </w:rPr>
      </w:pPr>
    </w:p>
    <w:p w:rsidR="005534DB" w:rsidRDefault="005534DB" w:rsidP="00AB1037">
      <w:pPr>
        <w:jc w:val="both"/>
        <w:rPr>
          <w:sz w:val="24"/>
        </w:rPr>
      </w:pPr>
      <w:r>
        <w:rPr>
          <w:sz w:val="24"/>
        </w:rPr>
        <w:t xml:space="preserve">WTB published a comprehensive 52-page special Year-end Tax Planning issue (No 24, dated 5 June 2015) written by Pitcher Partners. </w:t>
      </w:r>
      <w:r w:rsidR="00912941">
        <w:rPr>
          <w:sz w:val="24"/>
        </w:rPr>
        <w:t xml:space="preserve">This was an excellent Bulletin. </w:t>
      </w:r>
      <w:r w:rsidR="00912941" w:rsidRPr="00912941">
        <w:rPr>
          <w:sz w:val="24"/>
          <w:u w:val="single"/>
        </w:rPr>
        <w:t>There was n</w:t>
      </w:r>
      <w:r w:rsidRPr="00912941">
        <w:rPr>
          <w:sz w:val="24"/>
          <w:u w:val="single"/>
        </w:rPr>
        <w:t xml:space="preserve">o Year-end tax planning issue from CCH </w:t>
      </w:r>
      <w:r w:rsidRPr="00912941">
        <w:rPr>
          <w:i/>
          <w:sz w:val="24"/>
          <w:u w:val="single"/>
        </w:rPr>
        <w:t>Tax Week</w:t>
      </w:r>
      <w:r>
        <w:rPr>
          <w:sz w:val="24"/>
        </w:rPr>
        <w:t>.</w:t>
      </w:r>
    </w:p>
    <w:p w:rsidR="005534DB" w:rsidRDefault="005534DB" w:rsidP="00AB1037">
      <w:pPr>
        <w:jc w:val="both"/>
        <w:rPr>
          <w:sz w:val="24"/>
        </w:rPr>
      </w:pPr>
    </w:p>
    <w:p w:rsidR="007A4E1A" w:rsidRDefault="007A4E1A" w:rsidP="00AB1037">
      <w:pPr>
        <w:jc w:val="both"/>
        <w:rPr>
          <w:sz w:val="24"/>
        </w:rPr>
      </w:pPr>
      <w:r>
        <w:rPr>
          <w:sz w:val="24"/>
        </w:rPr>
        <w:t xml:space="preserve">WTB also </w:t>
      </w:r>
      <w:r w:rsidR="002D28F7">
        <w:rPr>
          <w:sz w:val="24"/>
        </w:rPr>
        <w:t>regularly</w:t>
      </w:r>
      <w:r>
        <w:rPr>
          <w:sz w:val="24"/>
        </w:rPr>
        <w:t xml:space="preserve"> reports international tax issues of relevance and interest in Australia</w:t>
      </w:r>
      <w:r w:rsidR="007F470E">
        <w:rPr>
          <w:sz w:val="24"/>
        </w:rPr>
        <w:t xml:space="preserve"> eg </w:t>
      </w:r>
      <w:r w:rsidR="00DF3895">
        <w:rPr>
          <w:sz w:val="24"/>
        </w:rPr>
        <w:t xml:space="preserve">the very important OECD BEPS project on tax base erosion and profit shifting, </w:t>
      </w:r>
      <w:r w:rsidR="007F470E">
        <w:rPr>
          <w:sz w:val="24"/>
        </w:rPr>
        <w:t>source of income issues, withholding tax, US FATCA laws that affect Australian financial institutions, etc</w:t>
      </w:r>
      <w:r>
        <w:rPr>
          <w:sz w:val="24"/>
        </w:rPr>
        <w:t xml:space="preserve">. We do this through our </w:t>
      </w:r>
      <w:r w:rsidRPr="00DE30EB">
        <w:rPr>
          <w:b/>
          <w:sz w:val="24"/>
          <w:u w:val="single"/>
        </w:rPr>
        <w:t>exclusive contacts</w:t>
      </w:r>
      <w:r>
        <w:rPr>
          <w:sz w:val="24"/>
        </w:rPr>
        <w:t xml:space="preserve"> at Thomson </w:t>
      </w:r>
      <w:proofErr w:type="gramStart"/>
      <w:r>
        <w:rPr>
          <w:sz w:val="24"/>
        </w:rPr>
        <w:t>Reuters</w:t>
      </w:r>
      <w:proofErr w:type="gramEnd"/>
      <w:r>
        <w:rPr>
          <w:sz w:val="24"/>
        </w:rPr>
        <w:t xml:space="preserve"> offices for example in New York and Toronto. We also </w:t>
      </w:r>
      <w:r w:rsidRPr="006609E6">
        <w:rPr>
          <w:b/>
          <w:sz w:val="24"/>
          <w:u w:val="single"/>
        </w:rPr>
        <w:t>exclusively use</w:t>
      </w:r>
      <w:r>
        <w:rPr>
          <w:sz w:val="24"/>
        </w:rPr>
        <w:t xml:space="preserve"> relevant reports from the worldwide Reuters network. </w:t>
      </w:r>
      <w:r w:rsidR="00226B34">
        <w:rPr>
          <w:sz w:val="24"/>
        </w:rPr>
        <w:t xml:space="preserve">These international resources place us way ahead of CCH </w:t>
      </w:r>
      <w:r w:rsidR="00226B34" w:rsidRPr="00226B34">
        <w:rPr>
          <w:i/>
          <w:sz w:val="24"/>
        </w:rPr>
        <w:t>Tax Week</w:t>
      </w:r>
      <w:r w:rsidR="00226B34">
        <w:rPr>
          <w:sz w:val="24"/>
        </w:rPr>
        <w:t xml:space="preserve"> in reporting relevant international tax developments.</w:t>
      </w:r>
      <w:r>
        <w:rPr>
          <w:sz w:val="24"/>
        </w:rPr>
        <w:t xml:space="preserve">  </w:t>
      </w:r>
    </w:p>
    <w:p w:rsidR="007A4E1A" w:rsidRDefault="007A4E1A" w:rsidP="00AB1037">
      <w:pPr>
        <w:jc w:val="both"/>
        <w:rPr>
          <w:sz w:val="24"/>
        </w:rPr>
      </w:pPr>
    </w:p>
    <w:p w:rsidR="0034110F" w:rsidRDefault="004B6963" w:rsidP="00AB1037">
      <w:pPr>
        <w:jc w:val="both"/>
        <w:rPr>
          <w:sz w:val="24"/>
        </w:rPr>
      </w:pPr>
      <w:r>
        <w:rPr>
          <w:sz w:val="24"/>
        </w:rPr>
        <w:t xml:space="preserve">We don’t do this to fill up pages or to burden practitioners. There is much happening in tax and we make sure we cover it. </w:t>
      </w:r>
    </w:p>
    <w:p w:rsidR="00C93DFF" w:rsidRDefault="00C93DFF" w:rsidP="00226B34">
      <w:pPr>
        <w:jc w:val="both"/>
        <w:rPr>
          <w:sz w:val="24"/>
        </w:rPr>
      </w:pPr>
    </w:p>
    <w:p w:rsidR="0034110F" w:rsidRDefault="0034110F" w:rsidP="005F53D1">
      <w:pPr>
        <w:jc w:val="both"/>
        <w:rPr>
          <w:sz w:val="24"/>
        </w:rPr>
      </w:pPr>
      <w:r>
        <w:rPr>
          <w:sz w:val="24"/>
        </w:rPr>
        <w:t>We seek to help practitioners manage the large volume of tax developments that occur by providing clear well-structured contents lists for WTB and by giving each article a clear and meaningful heading.</w:t>
      </w:r>
      <w:r w:rsidR="00F46CE1">
        <w:rPr>
          <w:sz w:val="24"/>
        </w:rPr>
        <w:t xml:space="preserve"> Practitioners can then decide what reports they wish to read</w:t>
      </w:r>
      <w:r w:rsidR="005F53D1">
        <w:rPr>
          <w:sz w:val="24"/>
        </w:rPr>
        <w:t xml:space="preserve"> immediately or at a later time</w:t>
      </w:r>
      <w:r w:rsidR="00F46CE1">
        <w:rPr>
          <w:sz w:val="24"/>
        </w:rPr>
        <w:t>.</w:t>
      </w:r>
    </w:p>
    <w:p w:rsidR="00C93DFF" w:rsidRDefault="00C93DFF">
      <w:pPr>
        <w:ind w:left="720"/>
        <w:jc w:val="both"/>
        <w:rPr>
          <w:sz w:val="24"/>
        </w:rPr>
      </w:pPr>
    </w:p>
    <w:p w:rsidR="00F46CE1" w:rsidRDefault="004B6963" w:rsidP="007F470E">
      <w:pPr>
        <w:jc w:val="both"/>
        <w:rPr>
          <w:sz w:val="24"/>
        </w:rPr>
      </w:pPr>
      <w:r>
        <w:rPr>
          <w:sz w:val="24"/>
        </w:rPr>
        <w:t>WTB is a permanent reference source that can be referred back to whenever necessary. Ignorance of the tax law is no excuse. Practitioners might not like the volume of change they are faced with, but they can be sure that “</w:t>
      </w:r>
      <w:r>
        <w:rPr>
          <w:i/>
          <w:iCs/>
          <w:sz w:val="24"/>
          <w:u w:val="single"/>
        </w:rPr>
        <w:t>if it moves in tax, it’s covered in WTB</w:t>
      </w:r>
      <w:r>
        <w:rPr>
          <w:sz w:val="24"/>
        </w:rPr>
        <w:t xml:space="preserve">”. </w:t>
      </w:r>
    </w:p>
    <w:p w:rsidR="00183002" w:rsidRDefault="00183002" w:rsidP="00370641">
      <w:pPr>
        <w:jc w:val="both"/>
        <w:rPr>
          <w:b/>
          <w:color w:val="FF0000"/>
          <w:sz w:val="24"/>
          <w:u w:val="single"/>
        </w:rPr>
      </w:pPr>
    </w:p>
    <w:p w:rsidR="00675C56" w:rsidRDefault="00675C56" w:rsidP="00370641">
      <w:pPr>
        <w:jc w:val="both"/>
        <w:rPr>
          <w:b/>
          <w:color w:val="FF0000"/>
          <w:sz w:val="24"/>
          <w:u w:val="single"/>
        </w:rPr>
      </w:pPr>
      <w:r w:rsidRPr="00C2379E">
        <w:rPr>
          <w:b/>
          <w:color w:val="FF0000"/>
          <w:sz w:val="24"/>
          <w:u w:val="single"/>
        </w:rPr>
        <w:t xml:space="preserve">There is simply more coverage, more detail, </w:t>
      </w:r>
      <w:r w:rsidR="00C2379E" w:rsidRPr="00C2379E">
        <w:rPr>
          <w:b/>
          <w:color w:val="FF0000"/>
          <w:sz w:val="24"/>
          <w:u w:val="single"/>
        </w:rPr>
        <w:t xml:space="preserve">more analysis </w:t>
      </w:r>
      <w:r w:rsidRPr="00C2379E">
        <w:rPr>
          <w:b/>
          <w:color w:val="FF0000"/>
          <w:sz w:val="24"/>
          <w:u w:val="single"/>
        </w:rPr>
        <w:t>and more value with WTB.</w:t>
      </w:r>
    </w:p>
    <w:p w:rsidR="00C76CF9" w:rsidRDefault="00C76CF9" w:rsidP="00370641">
      <w:pPr>
        <w:jc w:val="both"/>
        <w:rPr>
          <w:b/>
          <w:color w:val="FF0000"/>
          <w:sz w:val="24"/>
          <w:u w:val="single"/>
        </w:rPr>
      </w:pPr>
    </w:p>
    <w:p w:rsidR="00C76CF9" w:rsidRDefault="00C76CF9" w:rsidP="00C76CF9">
      <w:pPr>
        <w:jc w:val="both"/>
        <w:rPr>
          <w:sz w:val="24"/>
        </w:rPr>
      </w:pPr>
      <w:r w:rsidRPr="00D73EE5">
        <w:rPr>
          <w:b/>
          <w:sz w:val="24"/>
        </w:rPr>
        <w:lastRenderedPageBreak/>
        <w:t>This is no “flash in the pan”</w:t>
      </w:r>
      <w:r>
        <w:rPr>
          <w:sz w:val="24"/>
        </w:rPr>
        <w:t xml:space="preserve"> – 2014, </w:t>
      </w:r>
      <w:r w:rsidR="009A159E">
        <w:rPr>
          <w:sz w:val="24"/>
        </w:rPr>
        <w:t>2013, 2012, 2011, 2010</w:t>
      </w:r>
      <w:r>
        <w:rPr>
          <w:sz w:val="24"/>
        </w:rPr>
        <w:t xml:space="preserve"> and earlier years all illustrate the same trend – that WTB is No 1. WTB’s comprehensive reporting has been a feature for many years, and the bank or warehouse of information it provides is unsurpassed.</w:t>
      </w:r>
    </w:p>
    <w:p w:rsidR="00C76CF9" w:rsidRDefault="00C76CF9" w:rsidP="00C76CF9">
      <w:pPr>
        <w:jc w:val="both"/>
        <w:rPr>
          <w:sz w:val="24"/>
        </w:rPr>
      </w:pPr>
    </w:p>
    <w:p w:rsidR="00C76CF9" w:rsidRDefault="00C76CF9" w:rsidP="00C76CF9">
      <w:pPr>
        <w:jc w:val="both"/>
        <w:rPr>
          <w:sz w:val="24"/>
        </w:rPr>
      </w:pPr>
      <w:r w:rsidRPr="006779A5">
        <w:rPr>
          <w:sz w:val="24"/>
        </w:rPr>
        <w:t xml:space="preserve">The table below shows </w:t>
      </w:r>
      <w:r>
        <w:rPr>
          <w:sz w:val="24"/>
        </w:rPr>
        <w:t xml:space="preserve">that in the 16 years 2000 to 2015 inclusive, WTB has reported over </w:t>
      </w:r>
      <w:r w:rsidR="003E3890">
        <w:rPr>
          <w:b/>
          <w:sz w:val="24"/>
          <w:u w:val="single"/>
        </w:rPr>
        <w:t>18,500</w:t>
      </w:r>
      <w:r w:rsidRPr="0084005B">
        <w:rPr>
          <w:b/>
          <w:sz w:val="24"/>
          <w:u w:val="single"/>
        </w:rPr>
        <w:t xml:space="preserve"> MORE</w:t>
      </w:r>
      <w:r>
        <w:rPr>
          <w:b/>
          <w:sz w:val="24"/>
          <w:u w:val="single"/>
        </w:rPr>
        <w:t xml:space="preserve"> tax and related</w:t>
      </w:r>
      <w:r w:rsidRPr="0084005B">
        <w:rPr>
          <w:b/>
          <w:sz w:val="24"/>
          <w:u w:val="single"/>
        </w:rPr>
        <w:t xml:space="preserve"> updates</w:t>
      </w:r>
      <w:r>
        <w:rPr>
          <w:sz w:val="24"/>
        </w:rPr>
        <w:t xml:space="preserve"> than </w:t>
      </w:r>
      <w:r w:rsidRPr="0084005B">
        <w:rPr>
          <w:i/>
          <w:sz w:val="24"/>
        </w:rPr>
        <w:t>CCH Tax Week</w:t>
      </w:r>
      <w:r>
        <w:rPr>
          <w:sz w:val="24"/>
        </w:rPr>
        <w:t xml:space="preserve"> ie </w:t>
      </w:r>
      <w:r w:rsidRPr="00965C61">
        <w:rPr>
          <w:b/>
          <w:sz w:val="24"/>
          <w:u w:val="single"/>
        </w:rPr>
        <w:t>more than twice the number of reports</w:t>
      </w:r>
      <w:r>
        <w:rPr>
          <w:sz w:val="24"/>
        </w:rPr>
        <w:t xml:space="preserve"> than </w:t>
      </w:r>
      <w:r w:rsidRPr="00965C61">
        <w:rPr>
          <w:i/>
          <w:sz w:val="24"/>
        </w:rPr>
        <w:t>CCH Tax Week</w:t>
      </w:r>
      <w:r>
        <w:rPr>
          <w:sz w:val="24"/>
        </w:rPr>
        <w:t>.</w:t>
      </w:r>
    </w:p>
    <w:p w:rsidR="00C76CF9" w:rsidRDefault="00C76CF9" w:rsidP="00C76CF9">
      <w:pPr>
        <w:jc w:val="both"/>
        <w:rPr>
          <w:sz w:val="24"/>
        </w:rPr>
      </w:pPr>
    </w:p>
    <w:p w:rsidR="00C76CF9" w:rsidRDefault="00C76CF9" w:rsidP="00C76CF9">
      <w:pPr>
        <w:jc w:val="both"/>
        <w:rPr>
          <w:sz w:val="24"/>
          <w:u w:val="single"/>
        </w:rPr>
      </w:pPr>
      <w:r>
        <w:rPr>
          <w:sz w:val="24"/>
          <w:u w:val="single"/>
        </w:rPr>
        <w:t xml:space="preserve">Since the year 2000, the comparison between WTB and </w:t>
      </w:r>
      <w:r>
        <w:rPr>
          <w:i/>
          <w:iCs/>
          <w:sz w:val="24"/>
          <w:u w:val="single"/>
        </w:rPr>
        <w:t>CCH Tax Week</w:t>
      </w:r>
      <w:r>
        <w:rPr>
          <w:sz w:val="24"/>
          <w:u w:val="single"/>
        </w:rPr>
        <w:t xml:space="preserve"> shows the following:</w:t>
      </w:r>
    </w:p>
    <w:p w:rsidR="00C76CF9" w:rsidRDefault="00C76CF9" w:rsidP="00C76CF9">
      <w:pPr>
        <w:jc w:val="both"/>
        <w:rPr>
          <w:sz w:val="24"/>
        </w:rPr>
      </w:pPr>
    </w:p>
    <w:p w:rsidR="00C76CF9" w:rsidRDefault="00C76CF9" w:rsidP="00C76CF9">
      <w:pPr>
        <w:ind w:left="720"/>
        <w:jc w:val="both"/>
        <w:rPr>
          <w:sz w:val="24"/>
        </w:rPr>
      </w:pPr>
    </w:p>
    <w:p w:rsidR="00C76CF9" w:rsidRDefault="00C76CF9" w:rsidP="00C76CF9">
      <w:pPr>
        <w:ind w:left="720"/>
        <w:jc w:val="both"/>
        <w:rPr>
          <w:sz w:val="24"/>
        </w:rPr>
      </w:pPr>
    </w:p>
    <w:tbl>
      <w:tblPr>
        <w:tblW w:w="0" w:type="auto"/>
        <w:tblInd w:w="9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2340"/>
        <w:gridCol w:w="2880"/>
        <w:gridCol w:w="3060"/>
      </w:tblGrid>
      <w:tr w:rsidR="00C76CF9" w:rsidTr="009A159E">
        <w:tblPrEx>
          <w:tblCellMar>
            <w:top w:w="0" w:type="dxa"/>
            <w:bottom w:w="0" w:type="dxa"/>
          </w:tblCellMar>
        </w:tblPrEx>
        <w:trPr>
          <w:cantSplit/>
          <w:trHeight w:val="195"/>
        </w:trPr>
        <w:tc>
          <w:tcPr>
            <w:tcW w:w="2340" w:type="dxa"/>
            <w:vMerge w:val="restart"/>
            <w:tcBorders>
              <w:left w:val="single" w:sz="4" w:space="0" w:color="auto"/>
              <w:right w:val="single" w:sz="4" w:space="0" w:color="auto"/>
            </w:tcBorders>
          </w:tcPr>
          <w:p w:rsidR="00C76CF9" w:rsidRDefault="00C76CF9" w:rsidP="009A159E">
            <w:pPr>
              <w:ind w:left="720"/>
              <w:jc w:val="both"/>
              <w:rPr>
                <w:sz w:val="24"/>
              </w:rPr>
            </w:pPr>
          </w:p>
          <w:p w:rsidR="00C76CF9" w:rsidRDefault="00C76CF9" w:rsidP="009A159E">
            <w:pPr>
              <w:pStyle w:val="Heading6"/>
            </w:pPr>
            <w:r>
              <w:t>Year</w:t>
            </w:r>
          </w:p>
          <w:p w:rsidR="00C76CF9" w:rsidRDefault="00C76CF9" w:rsidP="009A159E">
            <w:pPr>
              <w:jc w:val="center"/>
            </w:pPr>
            <w:r>
              <w:t>(1 Jan-31 Dec)</w:t>
            </w:r>
          </w:p>
        </w:tc>
        <w:tc>
          <w:tcPr>
            <w:tcW w:w="5940" w:type="dxa"/>
            <w:gridSpan w:val="2"/>
            <w:tcBorders>
              <w:left w:val="single" w:sz="4" w:space="0" w:color="auto"/>
              <w:bottom w:val="single" w:sz="4" w:space="0" w:color="auto"/>
            </w:tcBorders>
          </w:tcPr>
          <w:p w:rsidR="00C76CF9" w:rsidRDefault="00C76CF9" w:rsidP="009A159E">
            <w:pPr>
              <w:pStyle w:val="Heading5"/>
            </w:pPr>
            <w:r>
              <w:t>Number of updates</w:t>
            </w:r>
          </w:p>
        </w:tc>
      </w:tr>
      <w:tr w:rsidR="00C76CF9" w:rsidTr="009A159E">
        <w:tblPrEx>
          <w:tblCellMar>
            <w:top w:w="0" w:type="dxa"/>
            <w:bottom w:w="0" w:type="dxa"/>
          </w:tblCellMar>
        </w:tblPrEx>
        <w:trPr>
          <w:cantSplit/>
          <w:trHeight w:val="615"/>
        </w:trPr>
        <w:tc>
          <w:tcPr>
            <w:tcW w:w="2340" w:type="dxa"/>
            <w:vMerge/>
            <w:tcBorders>
              <w:left w:val="single" w:sz="4" w:space="0" w:color="auto"/>
              <w:bottom w:val="single" w:sz="18" w:space="0" w:color="auto"/>
              <w:right w:val="single" w:sz="4" w:space="0" w:color="auto"/>
            </w:tcBorders>
          </w:tcPr>
          <w:p w:rsidR="00C76CF9" w:rsidRDefault="00C76CF9" w:rsidP="009A159E">
            <w:pPr>
              <w:ind w:left="720"/>
              <w:jc w:val="both"/>
              <w:rPr>
                <w:sz w:val="24"/>
              </w:rPr>
            </w:pP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pStyle w:val="Heading4"/>
              <w:rPr>
                <w:b/>
                <w:bCs/>
              </w:rPr>
            </w:pPr>
            <w:r>
              <w:rPr>
                <w:b/>
                <w:bCs/>
              </w:rPr>
              <w:t>WTB</w:t>
            </w:r>
          </w:p>
          <w:p w:rsidR="00C76CF9" w:rsidRDefault="00C76CF9" w:rsidP="009A159E">
            <w:pPr>
              <w:jc w:val="both"/>
              <w:rPr>
                <w:sz w:val="24"/>
              </w:rPr>
            </w:pPr>
          </w:p>
        </w:tc>
        <w:tc>
          <w:tcPr>
            <w:tcW w:w="3060" w:type="dxa"/>
            <w:tcBorders>
              <w:top w:val="single" w:sz="4" w:space="0" w:color="auto"/>
              <w:left w:val="single" w:sz="4" w:space="0" w:color="auto"/>
              <w:bottom w:val="single" w:sz="18" w:space="0" w:color="auto"/>
            </w:tcBorders>
          </w:tcPr>
          <w:p w:rsidR="00C76CF9" w:rsidRDefault="00C76CF9" w:rsidP="009A159E">
            <w:pPr>
              <w:pStyle w:val="Heading4"/>
              <w:rPr>
                <w:b/>
                <w:bCs/>
              </w:rPr>
            </w:pPr>
            <w:r>
              <w:rPr>
                <w:b/>
                <w:bCs/>
              </w:rPr>
              <w:t>CCH Tax Week</w:t>
            </w:r>
          </w:p>
          <w:p w:rsidR="00C76CF9" w:rsidRDefault="00C76CF9" w:rsidP="009A159E">
            <w:pPr>
              <w:jc w:val="both"/>
              <w:rPr>
                <w:sz w:val="24"/>
              </w:rPr>
            </w:pP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C76CF9">
            <w:pPr>
              <w:rPr>
                <w:sz w:val="24"/>
              </w:rPr>
            </w:pPr>
            <w:r>
              <w:rPr>
                <w:sz w:val="24"/>
              </w:rPr>
              <w:t xml:space="preserve">              2015</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1,969</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1,054</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C76CF9">
            <w:pPr>
              <w:jc w:val="center"/>
              <w:rPr>
                <w:sz w:val="24"/>
              </w:rPr>
            </w:pPr>
            <w:r>
              <w:rPr>
                <w:sz w:val="24"/>
              </w:rPr>
              <w:t>2014</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1,808</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1,122</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2013</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rPr>
                <w:sz w:val="24"/>
              </w:rPr>
            </w:pPr>
            <w:r>
              <w:rPr>
                <w:sz w:val="24"/>
              </w:rPr>
              <w:t xml:space="preserve">                  2,326</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1,236</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2012</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2,262</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1,175</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2011</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2,081</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1,165</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2010</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2,095</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1,197</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2009</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2,579</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1,254</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2008</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2,452</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1,176</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2007</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2,358</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1,081</w:t>
            </w:r>
          </w:p>
        </w:tc>
      </w:tr>
      <w:tr w:rsidR="00C76CF9" w:rsidTr="009A159E">
        <w:tblPrEx>
          <w:tblCellMar>
            <w:top w:w="0" w:type="dxa"/>
            <w:bottom w:w="0" w:type="dxa"/>
          </w:tblCellMar>
        </w:tblPrEx>
        <w:trPr>
          <w:cantSplit/>
          <w:trHeight w:val="378"/>
        </w:trPr>
        <w:tc>
          <w:tcPr>
            <w:tcW w:w="2340" w:type="dxa"/>
            <w:tcBorders>
              <w:left w:val="single" w:sz="4" w:space="0" w:color="auto"/>
              <w:bottom w:val="single" w:sz="18" w:space="0" w:color="auto"/>
              <w:right w:val="single" w:sz="4" w:space="0" w:color="auto"/>
            </w:tcBorders>
          </w:tcPr>
          <w:p w:rsidR="00C76CF9" w:rsidRDefault="00C76CF9" w:rsidP="009A159E">
            <w:pPr>
              <w:jc w:val="center"/>
              <w:rPr>
                <w:sz w:val="24"/>
              </w:rPr>
            </w:pPr>
            <w:r>
              <w:rPr>
                <w:sz w:val="24"/>
              </w:rPr>
              <w:t>2006</w:t>
            </w:r>
          </w:p>
        </w:tc>
        <w:tc>
          <w:tcPr>
            <w:tcW w:w="2880" w:type="dxa"/>
            <w:tcBorders>
              <w:top w:val="single" w:sz="4" w:space="0" w:color="auto"/>
              <w:left w:val="single" w:sz="4" w:space="0" w:color="auto"/>
              <w:bottom w:val="single" w:sz="18" w:space="0" w:color="auto"/>
              <w:right w:val="single" w:sz="4" w:space="0" w:color="auto"/>
            </w:tcBorders>
          </w:tcPr>
          <w:p w:rsidR="00C76CF9" w:rsidRDefault="00C76CF9" w:rsidP="009A159E">
            <w:pPr>
              <w:jc w:val="center"/>
              <w:rPr>
                <w:sz w:val="24"/>
              </w:rPr>
            </w:pPr>
            <w:r>
              <w:rPr>
                <w:sz w:val="24"/>
              </w:rPr>
              <w:t>2,421</w:t>
            </w:r>
          </w:p>
        </w:tc>
        <w:tc>
          <w:tcPr>
            <w:tcW w:w="3060" w:type="dxa"/>
            <w:tcBorders>
              <w:top w:val="single" w:sz="4" w:space="0" w:color="auto"/>
              <w:left w:val="single" w:sz="4" w:space="0" w:color="auto"/>
              <w:bottom w:val="single" w:sz="18" w:space="0" w:color="auto"/>
            </w:tcBorders>
          </w:tcPr>
          <w:p w:rsidR="00C76CF9" w:rsidRDefault="00C76CF9" w:rsidP="009A159E">
            <w:pPr>
              <w:jc w:val="center"/>
              <w:rPr>
                <w:sz w:val="24"/>
              </w:rPr>
            </w:pPr>
            <w:r>
              <w:rPr>
                <w:sz w:val="24"/>
              </w:rPr>
              <w:t>1,127</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2005</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2,113</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1,063</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2004</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2,286</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1,107</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2003</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2,350</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875</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2002</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2,283</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922</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2001</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2,265</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798</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2000</w:t>
            </w:r>
          </w:p>
        </w:tc>
        <w:tc>
          <w:tcPr>
            <w:tcW w:w="2880" w:type="dxa"/>
            <w:tcBorders>
              <w:top w:val="single" w:sz="18" w:space="0" w:color="auto"/>
              <w:left w:val="single" w:sz="4" w:space="0" w:color="auto"/>
              <w:bottom w:val="single" w:sz="18" w:space="0" w:color="auto"/>
              <w:right w:val="single" w:sz="4" w:space="0" w:color="auto"/>
            </w:tcBorders>
          </w:tcPr>
          <w:p w:rsidR="00C76CF9" w:rsidRDefault="00C76CF9" w:rsidP="009A159E">
            <w:pPr>
              <w:ind w:left="720"/>
              <w:rPr>
                <w:sz w:val="24"/>
              </w:rPr>
            </w:pPr>
            <w:r>
              <w:rPr>
                <w:sz w:val="24"/>
              </w:rPr>
              <w:t xml:space="preserve">      2,232</w:t>
            </w:r>
          </w:p>
        </w:tc>
        <w:tc>
          <w:tcPr>
            <w:tcW w:w="3060" w:type="dxa"/>
            <w:tcBorders>
              <w:top w:val="single" w:sz="18" w:space="0" w:color="auto"/>
              <w:left w:val="single" w:sz="4" w:space="0" w:color="auto"/>
              <w:bottom w:val="single" w:sz="18" w:space="0" w:color="auto"/>
            </w:tcBorders>
          </w:tcPr>
          <w:p w:rsidR="00C76CF9" w:rsidRDefault="00C76CF9" w:rsidP="009A159E">
            <w:pPr>
              <w:ind w:left="720"/>
              <w:rPr>
                <w:sz w:val="24"/>
              </w:rPr>
            </w:pPr>
            <w:r>
              <w:rPr>
                <w:sz w:val="24"/>
              </w:rPr>
              <w:t xml:space="preserve">          935</w:t>
            </w:r>
          </w:p>
        </w:tc>
      </w:tr>
      <w:tr w:rsidR="00C76CF9" w:rsidTr="009A159E">
        <w:tblPrEx>
          <w:tblCellMar>
            <w:top w:w="0" w:type="dxa"/>
            <w:bottom w:w="0" w:type="dxa"/>
          </w:tblCellMar>
        </w:tblPrEx>
        <w:trPr>
          <w:trHeight w:val="405"/>
        </w:trPr>
        <w:tc>
          <w:tcPr>
            <w:tcW w:w="2340" w:type="dxa"/>
            <w:tcBorders>
              <w:top w:val="single" w:sz="18" w:space="0" w:color="auto"/>
              <w:left w:val="single" w:sz="4" w:space="0" w:color="auto"/>
              <w:right w:val="single" w:sz="4" w:space="0" w:color="auto"/>
            </w:tcBorders>
          </w:tcPr>
          <w:p w:rsidR="00C76CF9" w:rsidRDefault="00C76CF9" w:rsidP="009A159E">
            <w:pPr>
              <w:ind w:left="720"/>
              <w:jc w:val="center"/>
              <w:rPr>
                <w:b/>
                <w:bCs/>
                <w:sz w:val="24"/>
              </w:rPr>
            </w:pPr>
            <w:r>
              <w:rPr>
                <w:b/>
                <w:bCs/>
                <w:sz w:val="24"/>
              </w:rPr>
              <w:t>TOTAL</w:t>
            </w:r>
          </w:p>
        </w:tc>
        <w:tc>
          <w:tcPr>
            <w:tcW w:w="2880" w:type="dxa"/>
            <w:tcBorders>
              <w:top w:val="single" w:sz="18" w:space="0" w:color="auto"/>
              <w:left w:val="single" w:sz="4" w:space="0" w:color="auto"/>
              <w:right w:val="single" w:sz="4" w:space="0" w:color="auto"/>
            </w:tcBorders>
          </w:tcPr>
          <w:p w:rsidR="00C76CF9" w:rsidRDefault="00C76CF9" w:rsidP="009A159E">
            <w:pPr>
              <w:ind w:left="720"/>
              <w:rPr>
                <w:b/>
                <w:bCs/>
                <w:sz w:val="24"/>
              </w:rPr>
            </w:pPr>
            <w:r>
              <w:rPr>
                <w:b/>
                <w:bCs/>
                <w:sz w:val="24"/>
              </w:rPr>
              <w:t xml:space="preserve">    35,880</w:t>
            </w:r>
          </w:p>
        </w:tc>
        <w:tc>
          <w:tcPr>
            <w:tcW w:w="3060" w:type="dxa"/>
            <w:tcBorders>
              <w:top w:val="single" w:sz="18" w:space="0" w:color="auto"/>
              <w:left w:val="single" w:sz="4" w:space="0" w:color="auto"/>
            </w:tcBorders>
          </w:tcPr>
          <w:p w:rsidR="00C76CF9" w:rsidRDefault="00C76CF9" w:rsidP="009A159E">
            <w:pPr>
              <w:ind w:left="720"/>
              <w:rPr>
                <w:b/>
                <w:bCs/>
                <w:sz w:val="24"/>
              </w:rPr>
            </w:pPr>
            <w:r>
              <w:rPr>
                <w:b/>
                <w:bCs/>
                <w:sz w:val="24"/>
              </w:rPr>
              <w:t xml:space="preserve">       17,287</w:t>
            </w:r>
          </w:p>
        </w:tc>
      </w:tr>
    </w:tbl>
    <w:p w:rsidR="00C76CF9" w:rsidRDefault="00C76CF9" w:rsidP="00C76CF9">
      <w:pPr>
        <w:jc w:val="both"/>
        <w:rPr>
          <w:sz w:val="24"/>
        </w:rPr>
      </w:pPr>
    </w:p>
    <w:p w:rsidR="004B511B" w:rsidRDefault="004B511B" w:rsidP="004B511B">
      <w:pPr>
        <w:jc w:val="both"/>
        <w:rPr>
          <w:sz w:val="24"/>
        </w:rPr>
      </w:pPr>
      <w:r>
        <w:rPr>
          <w:b/>
          <w:bCs/>
          <w:sz w:val="24"/>
          <w:u w:val="single"/>
        </w:rPr>
        <w:t>Status of Bills tables</w:t>
      </w:r>
    </w:p>
    <w:p w:rsidR="004B511B" w:rsidRDefault="004B511B" w:rsidP="004B511B">
      <w:pPr>
        <w:jc w:val="both"/>
        <w:rPr>
          <w:sz w:val="24"/>
        </w:rPr>
      </w:pPr>
    </w:p>
    <w:p w:rsidR="004B511B" w:rsidRDefault="004B511B" w:rsidP="004B511B">
      <w:pPr>
        <w:pStyle w:val="BodyText"/>
      </w:pPr>
      <w:r>
        <w:t xml:space="preserve">Practitioners have to advise clients based on the law, rulings, cases, etc </w:t>
      </w:r>
      <w:r>
        <w:rPr>
          <w:i/>
          <w:iCs/>
        </w:rPr>
        <w:t>at the time they give the advice</w:t>
      </w:r>
      <w:r>
        <w:t xml:space="preserve">, so they simply </w:t>
      </w:r>
      <w:r>
        <w:rPr>
          <w:u w:val="single"/>
        </w:rPr>
        <w:t>MUST</w:t>
      </w:r>
      <w:r>
        <w:t xml:space="preserve"> be up to date. For them to </w:t>
      </w:r>
      <w:proofErr w:type="gramStart"/>
      <w:r>
        <w:t>advise</w:t>
      </w:r>
      <w:proofErr w:type="gramEnd"/>
      <w:r>
        <w:t xml:space="preserve"> clients accurately, it is therefore essential they know the status of tax and related Bills (and draft Bills and regulations, and consultation papers proposing changes). WTB provides regularly updated Status of Bills tables eg </w:t>
      </w:r>
      <w:r>
        <w:rPr>
          <w:u w:val="single"/>
        </w:rPr>
        <w:t>see 2015 WTB 53 [1917] and 2015 WTB 34 [1278]</w:t>
      </w:r>
      <w:r>
        <w:t xml:space="preserve">. These status </w:t>
      </w:r>
      <w:r>
        <w:lastRenderedPageBreak/>
        <w:t xml:space="preserve">reports are an essential reference for busy practitioners who need to know what Bill is where. </w:t>
      </w:r>
      <w:r>
        <w:rPr>
          <w:b/>
          <w:bCs/>
          <w:u w:val="single"/>
        </w:rPr>
        <w:t xml:space="preserve">CCH </w:t>
      </w:r>
      <w:r>
        <w:rPr>
          <w:b/>
          <w:bCs/>
          <w:i/>
          <w:iCs/>
          <w:u w:val="single"/>
        </w:rPr>
        <w:t>Tax Week</w:t>
      </w:r>
      <w:r>
        <w:rPr>
          <w:b/>
          <w:bCs/>
          <w:u w:val="single"/>
        </w:rPr>
        <w:t xml:space="preserve"> does NOT publish these</w:t>
      </w:r>
      <w:r>
        <w:t xml:space="preserve">. </w:t>
      </w:r>
    </w:p>
    <w:p w:rsidR="004B511B" w:rsidRDefault="004B511B" w:rsidP="004B511B">
      <w:pPr>
        <w:pStyle w:val="BodyText"/>
      </w:pPr>
    </w:p>
    <w:p w:rsidR="004B511B" w:rsidRDefault="004B511B" w:rsidP="004B511B">
      <w:pPr>
        <w:pStyle w:val="BodyText"/>
      </w:pPr>
      <w:r>
        <w:t>There are a number of Bill Tracker products in the market, but WTB is tax-specific including giving cross-references to details on the Bill itself, any amendments and then Royal Assent details. This puts WTB ahead of the rest for tax practitioners because it tailors the information for them.</w:t>
      </w:r>
    </w:p>
    <w:p w:rsidR="00C76CF9" w:rsidRDefault="00C76CF9" w:rsidP="00370641">
      <w:pPr>
        <w:jc w:val="both"/>
        <w:rPr>
          <w:b/>
          <w:color w:val="FF0000"/>
          <w:sz w:val="24"/>
          <w:u w:val="single"/>
        </w:rPr>
      </w:pPr>
    </w:p>
    <w:p w:rsidR="003E3890" w:rsidRPr="00C2379E" w:rsidRDefault="003E3890" w:rsidP="00370641">
      <w:pPr>
        <w:jc w:val="both"/>
        <w:rPr>
          <w:b/>
          <w:color w:val="FF0000"/>
          <w:sz w:val="24"/>
          <w:u w:val="single"/>
        </w:rPr>
      </w:pPr>
    </w:p>
    <w:p w:rsidR="004B6963" w:rsidRDefault="00C76CF9" w:rsidP="00566F55">
      <w:pPr>
        <w:pStyle w:val="BodyText"/>
        <w:ind w:left="6480" w:firstLine="720"/>
      </w:pPr>
      <w:r>
        <w:t>5 January</w:t>
      </w:r>
      <w:r w:rsidR="0058555D">
        <w:t xml:space="preserve"> 201</w:t>
      </w:r>
      <w:r>
        <w:t>6</w:t>
      </w:r>
    </w:p>
    <w:sectPr w:rsidR="004B6963">
      <w:pgSz w:w="11907" w:h="16840" w:code="9"/>
      <w:pgMar w:top="1440"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988"/>
    <w:multiLevelType w:val="hybridMultilevel"/>
    <w:tmpl w:val="5D26F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044DE"/>
    <w:multiLevelType w:val="hybridMultilevel"/>
    <w:tmpl w:val="192C3500"/>
    <w:lvl w:ilvl="0" w:tplc="EB8858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8BF1CC3"/>
    <w:multiLevelType w:val="hybridMultilevel"/>
    <w:tmpl w:val="2CC25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961E98"/>
    <w:multiLevelType w:val="hybridMultilevel"/>
    <w:tmpl w:val="B40A87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74C7406A"/>
    <w:multiLevelType w:val="hybridMultilevel"/>
    <w:tmpl w:val="E8267FDA"/>
    <w:lvl w:ilvl="0" w:tplc="407092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6A49F3"/>
    <w:multiLevelType w:val="hybridMultilevel"/>
    <w:tmpl w:val="D6B80B9E"/>
    <w:lvl w:ilvl="0" w:tplc="407092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803AC"/>
    <w:rsid w:val="00001791"/>
    <w:rsid w:val="00005A81"/>
    <w:rsid w:val="00020D23"/>
    <w:rsid w:val="000267F1"/>
    <w:rsid w:val="00044031"/>
    <w:rsid w:val="000469A5"/>
    <w:rsid w:val="000539A9"/>
    <w:rsid w:val="000569B8"/>
    <w:rsid w:val="00066172"/>
    <w:rsid w:val="00066F25"/>
    <w:rsid w:val="0007231D"/>
    <w:rsid w:val="00077DBF"/>
    <w:rsid w:val="00085ACE"/>
    <w:rsid w:val="000A2562"/>
    <w:rsid w:val="000A53FB"/>
    <w:rsid w:val="000A7416"/>
    <w:rsid w:val="000B1E15"/>
    <w:rsid w:val="000B231B"/>
    <w:rsid w:val="000B5A63"/>
    <w:rsid w:val="000E0717"/>
    <w:rsid w:val="000E2CBA"/>
    <w:rsid w:val="000E5BE1"/>
    <w:rsid w:val="000F0039"/>
    <w:rsid w:val="00102C33"/>
    <w:rsid w:val="00102EBC"/>
    <w:rsid w:val="00104DB6"/>
    <w:rsid w:val="00110447"/>
    <w:rsid w:val="00144757"/>
    <w:rsid w:val="00147341"/>
    <w:rsid w:val="00154844"/>
    <w:rsid w:val="00161255"/>
    <w:rsid w:val="001663A6"/>
    <w:rsid w:val="00174E92"/>
    <w:rsid w:val="00183002"/>
    <w:rsid w:val="001A158F"/>
    <w:rsid w:val="001A2542"/>
    <w:rsid w:val="001B0148"/>
    <w:rsid w:val="001C58E1"/>
    <w:rsid w:val="001C641A"/>
    <w:rsid w:val="001C7C31"/>
    <w:rsid w:val="001D2EB6"/>
    <w:rsid w:val="001F15C5"/>
    <w:rsid w:val="001F66FF"/>
    <w:rsid w:val="001F70E6"/>
    <w:rsid w:val="00201A72"/>
    <w:rsid w:val="00201B42"/>
    <w:rsid w:val="002159C9"/>
    <w:rsid w:val="00225CF2"/>
    <w:rsid w:val="00226B34"/>
    <w:rsid w:val="0024173D"/>
    <w:rsid w:val="0024188F"/>
    <w:rsid w:val="0027423B"/>
    <w:rsid w:val="002750B7"/>
    <w:rsid w:val="0028321D"/>
    <w:rsid w:val="00285672"/>
    <w:rsid w:val="00287EC6"/>
    <w:rsid w:val="00296CB9"/>
    <w:rsid w:val="002A3A6E"/>
    <w:rsid w:val="002A5A43"/>
    <w:rsid w:val="002A70C9"/>
    <w:rsid w:val="002B01FB"/>
    <w:rsid w:val="002B5A3E"/>
    <w:rsid w:val="002C717F"/>
    <w:rsid w:val="002C7AD8"/>
    <w:rsid w:val="002D047A"/>
    <w:rsid w:val="002D28F7"/>
    <w:rsid w:val="002D2CEF"/>
    <w:rsid w:val="002F0698"/>
    <w:rsid w:val="002F1C76"/>
    <w:rsid w:val="003008FB"/>
    <w:rsid w:val="00301B26"/>
    <w:rsid w:val="00302226"/>
    <w:rsid w:val="00310752"/>
    <w:rsid w:val="0031395C"/>
    <w:rsid w:val="0031619C"/>
    <w:rsid w:val="003239B1"/>
    <w:rsid w:val="00330B87"/>
    <w:rsid w:val="0034110F"/>
    <w:rsid w:val="00347CBC"/>
    <w:rsid w:val="00360425"/>
    <w:rsid w:val="00370641"/>
    <w:rsid w:val="003738AC"/>
    <w:rsid w:val="00373AD0"/>
    <w:rsid w:val="003762C1"/>
    <w:rsid w:val="0038404F"/>
    <w:rsid w:val="003878BD"/>
    <w:rsid w:val="003912B1"/>
    <w:rsid w:val="003A2EE1"/>
    <w:rsid w:val="003A5419"/>
    <w:rsid w:val="003B399E"/>
    <w:rsid w:val="003C044D"/>
    <w:rsid w:val="003C3319"/>
    <w:rsid w:val="003C7ABA"/>
    <w:rsid w:val="003D383E"/>
    <w:rsid w:val="003D7B83"/>
    <w:rsid w:val="003E3890"/>
    <w:rsid w:val="003E6EFD"/>
    <w:rsid w:val="003F39C2"/>
    <w:rsid w:val="0040331F"/>
    <w:rsid w:val="004248DD"/>
    <w:rsid w:val="00432212"/>
    <w:rsid w:val="00452C60"/>
    <w:rsid w:val="00452FF8"/>
    <w:rsid w:val="00454D75"/>
    <w:rsid w:val="00457849"/>
    <w:rsid w:val="0046272C"/>
    <w:rsid w:val="00473129"/>
    <w:rsid w:val="00477BA7"/>
    <w:rsid w:val="00480489"/>
    <w:rsid w:val="0048630C"/>
    <w:rsid w:val="004874B4"/>
    <w:rsid w:val="004B4C8E"/>
    <w:rsid w:val="004B511B"/>
    <w:rsid w:val="004B6963"/>
    <w:rsid w:val="004C16C7"/>
    <w:rsid w:val="004C2F49"/>
    <w:rsid w:val="004C3D12"/>
    <w:rsid w:val="004D202F"/>
    <w:rsid w:val="004D6DE1"/>
    <w:rsid w:val="004E1967"/>
    <w:rsid w:val="004F591F"/>
    <w:rsid w:val="004F62B9"/>
    <w:rsid w:val="00521935"/>
    <w:rsid w:val="00530DC9"/>
    <w:rsid w:val="0053285B"/>
    <w:rsid w:val="005365F7"/>
    <w:rsid w:val="005416FA"/>
    <w:rsid w:val="005534DB"/>
    <w:rsid w:val="00556CFC"/>
    <w:rsid w:val="005614FB"/>
    <w:rsid w:val="00566F55"/>
    <w:rsid w:val="00571B46"/>
    <w:rsid w:val="00573108"/>
    <w:rsid w:val="00583765"/>
    <w:rsid w:val="00584631"/>
    <w:rsid w:val="0058555D"/>
    <w:rsid w:val="00593B3E"/>
    <w:rsid w:val="005A2EB3"/>
    <w:rsid w:val="005A6F35"/>
    <w:rsid w:val="005B5A89"/>
    <w:rsid w:val="005C1891"/>
    <w:rsid w:val="005C61F1"/>
    <w:rsid w:val="005D5F22"/>
    <w:rsid w:val="005E14E8"/>
    <w:rsid w:val="005F0DFA"/>
    <w:rsid w:val="005F1CB6"/>
    <w:rsid w:val="005F25AE"/>
    <w:rsid w:val="005F53D1"/>
    <w:rsid w:val="005F78EE"/>
    <w:rsid w:val="00610956"/>
    <w:rsid w:val="00623F57"/>
    <w:rsid w:val="00630668"/>
    <w:rsid w:val="00635829"/>
    <w:rsid w:val="00645453"/>
    <w:rsid w:val="006472F5"/>
    <w:rsid w:val="0065551B"/>
    <w:rsid w:val="00655BE3"/>
    <w:rsid w:val="0065664F"/>
    <w:rsid w:val="006609E6"/>
    <w:rsid w:val="0066115A"/>
    <w:rsid w:val="006676FA"/>
    <w:rsid w:val="0067067E"/>
    <w:rsid w:val="006733AD"/>
    <w:rsid w:val="00673AF6"/>
    <w:rsid w:val="00675C56"/>
    <w:rsid w:val="006774D1"/>
    <w:rsid w:val="006779A5"/>
    <w:rsid w:val="00680552"/>
    <w:rsid w:val="006B5955"/>
    <w:rsid w:val="006B7C3E"/>
    <w:rsid w:val="006C48EF"/>
    <w:rsid w:val="006C7AE9"/>
    <w:rsid w:val="006D15DA"/>
    <w:rsid w:val="006D2C70"/>
    <w:rsid w:val="006D2E99"/>
    <w:rsid w:val="006D453B"/>
    <w:rsid w:val="006D67E9"/>
    <w:rsid w:val="006E0C44"/>
    <w:rsid w:val="006E3373"/>
    <w:rsid w:val="006F31FE"/>
    <w:rsid w:val="007124EB"/>
    <w:rsid w:val="00716081"/>
    <w:rsid w:val="00717A01"/>
    <w:rsid w:val="00722A61"/>
    <w:rsid w:val="0072557F"/>
    <w:rsid w:val="0072600A"/>
    <w:rsid w:val="00726E80"/>
    <w:rsid w:val="00732933"/>
    <w:rsid w:val="00745F50"/>
    <w:rsid w:val="00746AB3"/>
    <w:rsid w:val="007517A1"/>
    <w:rsid w:val="00772DDC"/>
    <w:rsid w:val="00781258"/>
    <w:rsid w:val="0078131E"/>
    <w:rsid w:val="007845B3"/>
    <w:rsid w:val="0078612C"/>
    <w:rsid w:val="007863D2"/>
    <w:rsid w:val="007A407E"/>
    <w:rsid w:val="007A4E1A"/>
    <w:rsid w:val="007C22A2"/>
    <w:rsid w:val="007C37CF"/>
    <w:rsid w:val="007D19B2"/>
    <w:rsid w:val="007D4108"/>
    <w:rsid w:val="007D51FF"/>
    <w:rsid w:val="007E1372"/>
    <w:rsid w:val="007F0B8A"/>
    <w:rsid w:val="007F158D"/>
    <w:rsid w:val="007F470E"/>
    <w:rsid w:val="007F5CB9"/>
    <w:rsid w:val="007F5E42"/>
    <w:rsid w:val="0080086C"/>
    <w:rsid w:val="008010E3"/>
    <w:rsid w:val="00804F29"/>
    <w:rsid w:val="0081472F"/>
    <w:rsid w:val="008172B3"/>
    <w:rsid w:val="0081733A"/>
    <w:rsid w:val="008229FE"/>
    <w:rsid w:val="0082475A"/>
    <w:rsid w:val="00836DAE"/>
    <w:rsid w:val="0083745D"/>
    <w:rsid w:val="0084005B"/>
    <w:rsid w:val="0084204E"/>
    <w:rsid w:val="00845E3A"/>
    <w:rsid w:val="00851C4C"/>
    <w:rsid w:val="00857BFA"/>
    <w:rsid w:val="008619BD"/>
    <w:rsid w:val="00866544"/>
    <w:rsid w:val="00866709"/>
    <w:rsid w:val="00884C59"/>
    <w:rsid w:val="008876FE"/>
    <w:rsid w:val="008A37AD"/>
    <w:rsid w:val="008C7FD3"/>
    <w:rsid w:val="008D4D09"/>
    <w:rsid w:val="008F19B0"/>
    <w:rsid w:val="008F5530"/>
    <w:rsid w:val="008F585E"/>
    <w:rsid w:val="009060BE"/>
    <w:rsid w:val="00912941"/>
    <w:rsid w:val="009150D9"/>
    <w:rsid w:val="009235A5"/>
    <w:rsid w:val="009262B8"/>
    <w:rsid w:val="00926947"/>
    <w:rsid w:val="00927C64"/>
    <w:rsid w:val="009301F3"/>
    <w:rsid w:val="00935DC0"/>
    <w:rsid w:val="00944422"/>
    <w:rsid w:val="00956754"/>
    <w:rsid w:val="00965C61"/>
    <w:rsid w:val="00966849"/>
    <w:rsid w:val="00970469"/>
    <w:rsid w:val="0097052B"/>
    <w:rsid w:val="00973FD3"/>
    <w:rsid w:val="00975E34"/>
    <w:rsid w:val="00986465"/>
    <w:rsid w:val="009867C2"/>
    <w:rsid w:val="00993FEC"/>
    <w:rsid w:val="009975B4"/>
    <w:rsid w:val="009A159E"/>
    <w:rsid w:val="009A5AA0"/>
    <w:rsid w:val="009B1313"/>
    <w:rsid w:val="009B1437"/>
    <w:rsid w:val="009C07C0"/>
    <w:rsid w:val="009C765E"/>
    <w:rsid w:val="009D2FDA"/>
    <w:rsid w:val="009E1CF2"/>
    <w:rsid w:val="009E1E34"/>
    <w:rsid w:val="009E555D"/>
    <w:rsid w:val="009F53B6"/>
    <w:rsid w:val="00A03B88"/>
    <w:rsid w:val="00A10588"/>
    <w:rsid w:val="00A20411"/>
    <w:rsid w:val="00A2196D"/>
    <w:rsid w:val="00A23729"/>
    <w:rsid w:val="00A304C1"/>
    <w:rsid w:val="00A410B0"/>
    <w:rsid w:val="00A41560"/>
    <w:rsid w:val="00A43CA5"/>
    <w:rsid w:val="00A46BC1"/>
    <w:rsid w:val="00A510A8"/>
    <w:rsid w:val="00A519A8"/>
    <w:rsid w:val="00A70865"/>
    <w:rsid w:val="00A71004"/>
    <w:rsid w:val="00A81A43"/>
    <w:rsid w:val="00A85472"/>
    <w:rsid w:val="00A9334E"/>
    <w:rsid w:val="00AA296C"/>
    <w:rsid w:val="00AA7AF0"/>
    <w:rsid w:val="00AA7CF0"/>
    <w:rsid w:val="00AB1037"/>
    <w:rsid w:val="00AB275E"/>
    <w:rsid w:val="00AC1508"/>
    <w:rsid w:val="00AC5531"/>
    <w:rsid w:val="00AC5BB9"/>
    <w:rsid w:val="00AE0195"/>
    <w:rsid w:val="00AF5372"/>
    <w:rsid w:val="00B00CCB"/>
    <w:rsid w:val="00B00FBE"/>
    <w:rsid w:val="00B418ED"/>
    <w:rsid w:val="00B44DD7"/>
    <w:rsid w:val="00B53987"/>
    <w:rsid w:val="00B5484F"/>
    <w:rsid w:val="00B55D47"/>
    <w:rsid w:val="00B67CB3"/>
    <w:rsid w:val="00B7562B"/>
    <w:rsid w:val="00B803FB"/>
    <w:rsid w:val="00B80437"/>
    <w:rsid w:val="00B8161E"/>
    <w:rsid w:val="00B8659E"/>
    <w:rsid w:val="00B94E95"/>
    <w:rsid w:val="00B96D84"/>
    <w:rsid w:val="00BA7553"/>
    <w:rsid w:val="00BB024A"/>
    <w:rsid w:val="00BC06EB"/>
    <w:rsid w:val="00BC44B7"/>
    <w:rsid w:val="00BD0AAF"/>
    <w:rsid w:val="00BD33DF"/>
    <w:rsid w:val="00BD4E33"/>
    <w:rsid w:val="00BE60D6"/>
    <w:rsid w:val="00BF04A3"/>
    <w:rsid w:val="00BF0FE6"/>
    <w:rsid w:val="00C041E0"/>
    <w:rsid w:val="00C06BC1"/>
    <w:rsid w:val="00C15075"/>
    <w:rsid w:val="00C2379E"/>
    <w:rsid w:val="00C2473F"/>
    <w:rsid w:val="00C35E89"/>
    <w:rsid w:val="00C43CF0"/>
    <w:rsid w:val="00C51F00"/>
    <w:rsid w:val="00C60738"/>
    <w:rsid w:val="00C61502"/>
    <w:rsid w:val="00C61E05"/>
    <w:rsid w:val="00C7316C"/>
    <w:rsid w:val="00C74C54"/>
    <w:rsid w:val="00C76CF9"/>
    <w:rsid w:val="00C803AC"/>
    <w:rsid w:val="00C92F2C"/>
    <w:rsid w:val="00C93DFF"/>
    <w:rsid w:val="00CA7487"/>
    <w:rsid w:val="00CB0BCD"/>
    <w:rsid w:val="00CB1682"/>
    <w:rsid w:val="00CB5752"/>
    <w:rsid w:val="00CC011F"/>
    <w:rsid w:val="00CC53E7"/>
    <w:rsid w:val="00CC60BC"/>
    <w:rsid w:val="00CC77BA"/>
    <w:rsid w:val="00CD63B6"/>
    <w:rsid w:val="00CD76D2"/>
    <w:rsid w:val="00CE495D"/>
    <w:rsid w:val="00CE6799"/>
    <w:rsid w:val="00CF67C0"/>
    <w:rsid w:val="00D00456"/>
    <w:rsid w:val="00D017D7"/>
    <w:rsid w:val="00D1445B"/>
    <w:rsid w:val="00D15729"/>
    <w:rsid w:val="00D22A6C"/>
    <w:rsid w:val="00D2339B"/>
    <w:rsid w:val="00D26E7D"/>
    <w:rsid w:val="00D30019"/>
    <w:rsid w:val="00D30199"/>
    <w:rsid w:val="00D31DFE"/>
    <w:rsid w:val="00D40219"/>
    <w:rsid w:val="00D4094E"/>
    <w:rsid w:val="00D477B2"/>
    <w:rsid w:val="00D51516"/>
    <w:rsid w:val="00D52F81"/>
    <w:rsid w:val="00D57F2B"/>
    <w:rsid w:val="00D62777"/>
    <w:rsid w:val="00D631E1"/>
    <w:rsid w:val="00D63280"/>
    <w:rsid w:val="00D70116"/>
    <w:rsid w:val="00D70F25"/>
    <w:rsid w:val="00D737E2"/>
    <w:rsid w:val="00D73EE5"/>
    <w:rsid w:val="00D77B78"/>
    <w:rsid w:val="00DA1211"/>
    <w:rsid w:val="00DA520E"/>
    <w:rsid w:val="00DB0252"/>
    <w:rsid w:val="00DC75E1"/>
    <w:rsid w:val="00DD198A"/>
    <w:rsid w:val="00DE1DBB"/>
    <w:rsid w:val="00DE30EB"/>
    <w:rsid w:val="00DE7A6B"/>
    <w:rsid w:val="00DF2910"/>
    <w:rsid w:val="00DF32D4"/>
    <w:rsid w:val="00DF3895"/>
    <w:rsid w:val="00DF4292"/>
    <w:rsid w:val="00DF4D43"/>
    <w:rsid w:val="00DF7744"/>
    <w:rsid w:val="00E03892"/>
    <w:rsid w:val="00E04535"/>
    <w:rsid w:val="00E04731"/>
    <w:rsid w:val="00E101D7"/>
    <w:rsid w:val="00E21FC9"/>
    <w:rsid w:val="00E23E38"/>
    <w:rsid w:val="00E31D5E"/>
    <w:rsid w:val="00E3279C"/>
    <w:rsid w:val="00E34A2E"/>
    <w:rsid w:val="00E35CD2"/>
    <w:rsid w:val="00E40A46"/>
    <w:rsid w:val="00E4358E"/>
    <w:rsid w:val="00E47FE4"/>
    <w:rsid w:val="00E50589"/>
    <w:rsid w:val="00E51F5D"/>
    <w:rsid w:val="00E662F9"/>
    <w:rsid w:val="00E72B4C"/>
    <w:rsid w:val="00E73C48"/>
    <w:rsid w:val="00E850BA"/>
    <w:rsid w:val="00E855EE"/>
    <w:rsid w:val="00E90802"/>
    <w:rsid w:val="00EB4690"/>
    <w:rsid w:val="00EB53C1"/>
    <w:rsid w:val="00EB65D2"/>
    <w:rsid w:val="00EC3820"/>
    <w:rsid w:val="00EC54C9"/>
    <w:rsid w:val="00ED2FE3"/>
    <w:rsid w:val="00ED5B6F"/>
    <w:rsid w:val="00EE2771"/>
    <w:rsid w:val="00EE5B1C"/>
    <w:rsid w:val="00EF64B3"/>
    <w:rsid w:val="00F00AFB"/>
    <w:rsid w:val="00F03853"/>
    <w:rsid w:val="00F11138"/>
    <w:rsid w:val="00F21BC9"/>
    <w:rsid w:val="00F27456"/>
    <w:rsid w:val="00F36966"/>
    <w:rsid w:val="00F37743"/>
    <w:rsid w:val="00F400C0"/>
    <w:rsid w:val="00F41315"/>
    <w:rsid w:val="00F429B5"/>
    <w:rsid w:val="00F46BCE"/>
    <w:rsid w:val="00F46CE1"/>
    <w:rsid w:val="00F5481A"/>
    <w:rsid w:val="00F769D9"/>
    <w:rsid w:val="00F904C3"/>
    <w:rsid w:val="00F97498"/>
    <w:rsid w:val="00FA59DD"/>
    <w:rsid w:val="00FB01E3"/>
    <w:rsid w:val="00FB2E11"/>
    <w:rsid w:val="00FB3CCE"/>
    <w:rsid w:val="00FC5D8D"/>
    <w:rsid w:val="00FC5EC3"/>
    <w:rsid w:val="00FD78A0"/>
    <w:rsid w:val="00FE0C8D"/>
    <w:rsid w:val="00FE789F"/>
    <w:rsid w:val="00FF3DBF"/>
    <w:rsid w:val="00FF51D4"/>
    <w:rsid w:val="00FF65FE"/>
    <w:rsid w:val="00FF6877"/>
    <w:rsid w:val="00FF7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ind w:left="720"/>
      <w:jc w:val="both"/>
      <w:outlineLvl w:val="5"/>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rPr>
  </w:style>
  <w:style w:type="paragraph" w:styleId="ListParagraph">
    <w:name w:val="List Paragraph"/>
    <w:basedOn w:val="Normal"/>
    <w:uiPriority w:val="34"/>
    <w:qFormat/>
    <w:rsid w:val="004C3D12"/>
    <w:pPr>
      <w:ind w:left="720"/>
    </w:pPr>
    <w:rPr>
      <w:rFonts w:ascii="Calibri" w:eastAsia="Calibri" w:hAnsi="Calibri"/>
      <w:sz w:val="22"/>
      <w:szCs w:val="22"/>
      <w:lang w:val="en-AU" w:eastAsia="en-AU"/>
    </w:rPr>
  </w:style>
  <w:style w:type="character" w:styleId="Emphasis">
    <w:name w:val="Emphasis"/>
    <w:basedOn w:val="DefaultParagraphFont"/>
    <w:uiPriority w:val="20"/>
    <w:qFormat/>
    <w:rsid w:val="004C3D12"/>
    <w:rPr>
      <w:i/>
      <w:iCs/>
    </w:rPr>
  </w:style>
</w:styles>
</file>

<file path=word/webSettings.xml><?xml version="1.0" encoding="utf-8"?>
<w:webSettings xmlns:r="http://schemas.openxmlformats.org/officeDocument/2006/relationships" xmlns:w="http://schemas.openxmlformats.org/wordprocessingml/2006/main">
  <w:divs>
    <w:div w:id="8750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Thomson ATP Weekly Tax Bulletin v CCH Tax Week</vt:lpstr>
    </vt:vector>
  </TitlesOfParts>
  <Company>TLR</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Thomson ATP Weekly Tax Bulletin v CCH Tax Week</dc:title>
  <dc:creator>THayes</dc:creator>
  <cp:lastModifiedBy>Luu, Annie (Legal)</cp:lastModifiedBy>
  <cp:revision>2</cp:revision>
  <cp:lastPrinted>2011-02-14T23:54:00Z</cp:lastPrinted>
  <dcterms:created xsi:type="dcterms:W3CDTF">2016-04-12T06:21:00Z</dcterms:created>
  <dcterms:modified xsi:type="dcterms:W3CDTF">2016-04-12T06:21:00Z</dcterms:modified>
</cp:coreProperties>
</file>